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703F" w14:textId="684556CF" w:rsidR="004F134B" w:rsidRPr="004F134B" w:rsidRDefault="004F134B" w:rsidP="00AC391D">
      <w:pPr>
        <w:rPr>
          <w:rStyle w:val="SubtleEmphasis"/>
        </w:rPr>
      </w:pPr>
      <w:r w:rsidRPr="004F134B">
        <w:rPr>
          <w:rStyle w:val="SubtleEmphasis"/>
        </w:rPr>
        <w:t xml:space="preserve">Revised </w:t>
      </w:r>
      <w:proofErr w:type="gramStart"/>
      <w:r w:rsidRPr="004F134B">
        <w:rPr>
          <w:rStyle w:val="SubtleEmphasis"/>
        </w:rPr>
        <w:t>202</w:t>
      </w:r>
      <w:r w:rsidR="008D66F7">
        <w:rPr>
          <w:rStyle w:val="SubtleEmphasis"/>
        </w:rPr>
        <w:t>3</w:t>
      </w:r>
      <w:r w:rsidRPr="004F134B">
        <w:rPr>
          <w:rStyle w:val="SubtleEmphasis"/>
        </w:rPr>
        <w:t>-</w:t>
      </w:r>
      <w:r w:rsidR="008D66F7">
        <w:rPr>
          <w:rStyle w:val="SubtleEmphasis"/>
        </w:rPr>
        <w:t>10</w:t>
      </w:r>
      <w:r w:rsidRPr="004F134B">
        <w:rPr>
          <w:rStyle w:val="SubtleEmphasis"/>
        </w:rPr>
        <w:t>-</w:t>
      </w:r>
      <w:r w:rsidR="008D66F7">
        <w:rPr>
          <w:rStyle w:val="SubtleEmphasis"/>
        </w:rPr>
        <w:t>06</w:t>
      </w:r>
      <w:proofErr w:type="gramEnd"/>
    </w:p>
    <w:p w14:paraId="5107C66A" w14:textId="51F5298F" w:rsidR="00AC391D" w:rsidRDefault="00AC391D" w:rsidP="00AC391D">
      <w:pPr>
        <w:pStyle w:val="Heading1"/>
      </w:pPr>
      <w:r>
        <w:t>Overview</w:t>
      </w:r>
    </w:p>
    <w:p w14:paraId="583CCE92" w14:textId="77777777" w:rsidR="008D66F7" w:rsidRDefault="00682CD9" w:rsidP="00AC391D">
      <w:r>
        <w:t>The State of Delaware, Division of Revenue has been updating tax forms</w:t>
      </w:r>
      <w:r w:rsidR="00827C86">
        <w:t xml:space="preserve"> to a new format.  During this transition, there will be 2 primary form formats, legacy and new.  The legacy forms </w:t>
      </w:r>
      <w:r w:rsidR="000C4856">
        <w:t>are easy to identify as they typically have 4 corner target registration points and are usually grayscale or black and white.  The new forms have three target registration points and include a logo in the upper</w:t>
      </w:r>
      <w:r w:rsidR="000C6839">
        <w:t xml:space="preserve"> </w:t>
      </w:r>
      <w:r w:rsidR="000C4856">
        <w:t>left-hand corner.  This document addresses some common questions about the new forms and how they may be used for print-to-file purposes.</w:t>
      </w:r>
      <w:r w:rsidR="008D66F7">
        <w:t xml:space="preserve"> </w:t>
      </w:r>
    </w:p>
    <w:p w14:paraId="45484284" w14:textId="2AD66135" w:rsidR="00AC391D" w:rsidRPr="00AC391D" w:rsidRDefault="008D66F7" w:rsidP="00AC391D">
      <w:r w:rsidRPr="008D66F7">
        <w:rPr>
          <w:b/>
          <w:bCs/>
          <w:i/>
          <w:iCs/>
        </w:rPr>
        <w:t>Note:</w:t>
      </w:r>
      <w:r>
        <w:t xml:space="preserve"> </w:t>
      </w:r>
      <w:r>
        <w:rPr>
          <w:i/>
          <w:iCs/>
        </w:rPr>
        <w:t>W</w:t>
      </w:r>
      <w:r w:rsidRPr="008D66F7">
        <w:rPr>
          <w:i/>
          <w:iCs/>
        </w:rPr>
        <w:t>ith the 2023 tax season, many</w:t>
      </w:r>
      <w:r>
        <w:rPr>
          <w:i/>
          <w:iCs/>
        </w:rPr>
        <w:t xml:space="preserve">, but not all, </w:t>
      </w:r>
      <w:r w:rsidRPr="008D66F7">
        <w:rPr>
          <w:i/>
          <w:iCs/>
        </w:rPr>
        <w:t xml:space="preserve">of the legacy forms have been updated to reflect a new look and feel, </w:t>
      </w:r>
      <w:proofErr w:type="gramStart"/>
      <w:r w:rsidRPr="008D66F7">
        <w:rPr>
          <w:i/>
          <w:iCs/>
        </w:rPr>
        <w:t>similar to</w:t>
      </w:r>
      <w:proofErr w:type="gramEnd"/>
      <w:r w:rsidRPr="008D66F7">
        <w:rPr>
          <w:i/>
          <w:iCs/>
        </w:rPr>
        <w:t xml:space="preserve"> the individual tax type designs.</w:t>
      </w:r>
      <w:r>
        <w:t xml:space="preserve"> </w:t>
      </w:r>
    </w:p>
    <w:p w14:paraId="2A618FC9" w14:textId="28AF35E0" w:rsidR="000C4856" w:rsidRDefault="000C4856" w:rsidP="00AC391D">
      <w:pPr>
        <w:pStyle w:val="Heading1"/>
      </w:pPr>
      <w:r>
        <w:t>Colors</w:t>
      </w:r>
    </w:p>
    <w:p w14:paraId="64B2AD56" w14:textId="761753EA" w:rsidR="000C4856" w:rsidRDefault="000C4856" w:rsidP="000C4856">
      <w:r>
        <w:t xml:space="preserve">The newer forms use black ink and Pantone 277 U. </w:t>
      </w:r>
    </w:p>
    <w:p w14:paraId="77FB324A" w14:textId="10805D07" w:rsidR="000C4856" w:rsidRDefault="000C4856" w:rsidP="000C4856">
      <w:r>
        <w:t>The Pantone 277 U is rendered at varying tint levels (100%, 70%, 50%, &amp; 30%).  This shading occurs both in the header and throughout the form fields for borders and backgrounds.</w:t>
      </w:r>
    </w:p>
    <w:p w14:paraId="277D9755" w14:textId="79D399C7" w:rsidR="000C4856" w:rsidRPr="000C4856" w:rsidRDefault="000C4856" w:rsidP="000C4856">
      <w:r>
        <w:t>It is acceptable to replace the Pantone 277 U with black at 8% or to omit the color completely for fills and borders.  Do not, however, replace the Pantone 277 U with any other color as it will affect the scanning of the documents.</w:t>
      </w:r>
    </w:p>
    <w:p w14:paraId="7C163342" w14:textId="7AB96482" w:rsidR="000C4856" w:rsidRDefault="000C4856" w:rsidP="00AC391D">
      <w:pPr>
        <w:pStyle w:val="Heading1"/>
      </w:pPr>
      <w:r>
        <w:t>Grid</w:t>
      </w:r>
    </w:p>
    <w:p w14:paraId="3551C10B" w14:textId="4D05B9BF" w:rsidR="000C4856" w:rsidRDefault="000C4856" w:rsidP="000C4856">
      <w:r>
        <w:t>The new forms are designed to allow text placement and alignment on a subdivision of 10 horizontal lines per inch and 6 vertical lines per inch starting in the upper</w:t>
      </w:r>
      <w:r w:rsidR="000C6839">
        <w:t xml:space="preserve"> l</w:t>
      </w:r>
      <w:r>
        <w:t xml:space="preserve">eft-hand corner of the document.  This will allow for precise placement of content.  </w:t>
      </w:r>
      <w:r w:rsidR="000C6839">
        <w:t>Going forward, we refer to each grid area as a cell.</w:t>
      </w:r>
    </w:p>
    <w:p w14:paraId="4F79298D" w14:textId="2E001E61" w:rsidR="000C4856" w:rsidRDefault="000C4856" w:rsidP="000C4856">
      <w:r>
        <w:t xml:space="preserve">In situations where the field/box is 2 </w:t>
      </w:r>
      <w:r w:rsidR="000C6839">
        <w:t>cells</w:t>
      </w:r>
      <w:r>
        <w:t xml:space="preserve"> wide per character (e.g., some Taxpayer ID fields), the grid line is shifted ½ of the grid.  If the field is 2 </w:t>
      </w:r>
      <w:r w:rsidR="000C6839">
        <w:t>cells</w:t>
      </w:r>
      <w:r>
        <w:t xml:space="preserve"> tall, the grid is also shifted ½ a grid.</w:t>
      </w:r>
    </w:p>
    <w:p w14:paraId="559A48DA" w14:textId="1AE9B654" w:rsidR="00EF2FA3" w:rsidRDefault="00EF2FA3">
      <w:r>
        <w:br w:type="page"/>
      </w:r>
    </w:p>
    <w:p w14:paraId="25F6F881" w14:textId="158B22EF" w:rsidR="00AC391D" w:rsidRDefault="00AC391D" w:rsidP="00AC391D">
      <w:pPr>
        <w:pStyle w:val="Heading1"/>
      </w:pPr>
      <w:r>
        <w:lastRenderedPageBreak/>
        <w:t>Target Registrations</w:t>
      </w:r>
    </w:p>
    <w:p w14:paraId="267D52DF" w14:textId="6FB3A11C" w:rsidR="000C6839" w:rsidRDefault="000C6839" w:rsidP="000C6839">
      <w:r>
        <w:t>There are three target registrations on each page to assist with image alignment during the scanning process.  These appear in all corners except the upper-left corner.  Each registration mark is 2 cells wide by 1 cell tall, filled with black, and no border.  The following shows where the target registrations are positioned based:</w:t>
      </w:r>
    </w:p>
    <w:p w14:paraId="152D964B" w14:textId="6FBDB2B9" w:rsidR="000C6839" w:rsidRDefault="000C6839" w:rsidP="000C6839">
      <w:pPr>
        <w:pStyle w:val="ListParagraph"/>
        <w:numPr>
          <w:ilvl w:val="0"/>
          <w:numId w:val="1"/>
        </w:numPr>
      </w:pPr>
      <w:r>
        <w:t>Upper-Right: Row 4, Column 79 &amp; 80</w:t>
      </w:r>
    </w:p>
    <w:p w14:paraId="5B7E6030" w14:textId="020C1D82" w:rsidR="000C6839" w:rsidRDefault="000C6839" w:rsidP="000C6839">
      <w:pPr>
        <w:pStyle w:val="ListParagraph"/>
        <w:numPr>
          <w:ilvl w:val="0"/>
          <w:numId w:val="1"/>
        </w:numPr>
      </w:pPr>
      <w:r>
        <w:t>Lower-Left: Row 63, Column 6 &amp; 7</w:t>
      </w:r>
    </w:p>
    <w:p w14:paraId="65327EAF" w14:textId="708F49AA" w:rsidR="000C6839" w:rsidRPr="000C6839" w:rsidRDefault="000C6839" w:rsidP="000C6839">
      <w:pPr>
        <w:pStyle w:val="ListParagraph"/>
        <w:numPr>
          <w:ilvl w:val="0"/>
          <w:numId w:val="1"/>
        </w:numPr>
      </w:pPr>
      <w:r>
        <w:t>Lower-Right: Row 63, Column 79 &amp; 80</w:t>
      </w:r>
    </w:p>
    <w:p w14:paraId="5C6ED7D9" w14:textId="440A01F5" w:rsidR="00AC391D" w:rsidRDefault="00AC391D" w:rsidP="00AC391D">
      <w:pPr>
        <w:pStyle w:val="Heading1"/>
      </w:pPr>
      <w:r>
        <w:t>Font / Typeface</w:t>
      </w:r>
    </w:p>
    <w:p w14:paraId="4EF9EFF1" w14:textId="2E6344E8" w:rsidR="000C6839" w:rsidRDefault="000C6839" w:rsidP="000C6839">
      <w:r>
        <w:t>The new form uses the fonts “Open Sans” and “Open Sans Condensed” available from google fonts. (</w:t>
      </w:r>
      <w:hyperlink r:id="rId8" w:history="1">
        <w:r w:rsidRPr="008E0449">
          <w:rPr>
            <w:rStyle w:val="Hyperlink"/>
          </w:rPr>
          <w:t>https://fonts.google.com/?query=open+sans</w:t>
        </w:r>
      </w:hyperlink>
      <w:r>
        <w:t xml:space="preserve">).  If you are unable to use the Open Sans family, Arial would be an acceptable replacement for text.  </w:t>
      </w:r>
    </w:p>
    <w:p w14:paraId="14F0A24D" w14:textId="657C7C5B" w:rsidR="000C6839" w:rsidRDefault="000C6839" w:rsidP="000C6839">
      <w:r>
        <w:t xml:space="preserve">Most text label text is 7pt Open Sans Regular with some instances of 7pt Open Sans Condensed Light.  All type is black.  </w:t>
      </w:r>
    </w:p>
    <w:p w14:paraId="73BBA092" w14:textId="3232D5F0" w:rsidR="000C6839" w:rsidRDefault="000C6839" w:rsidP="000C6839">
      <w:r>
        <w:t xml:space="preserve">Field values should be printed at </w:t>
      </w:r>
      <w:r w:rsidR="00E2125A">
        <w:t xml:space="preserve">10pt Regular </w:t>
      </w:r>
      <w:r>
        <w:t>within their fields</w:t>
      </w:r>
      <w:r w:rsidR="00F354E2">
        <w:t xml:space="preserve"> using one of the following fonts:</w:t>
      </w:r>
    </w:p>
    <w:p w14:paraId="1E895207" w14:textId="77777777" w:rsidR="00B35382" w:rsidRDefault="00F354E2" w:rsidP="002A2711">
      <w:pPr>
        <w:pStyle w:val="ListParagraph"/>
        <w:numPr>
          <w:ilvl w:val="0"/>
          <w:numId w:val="3"/>
        </w:numPr>
      </w:pPr>
      <w:r>
        <w:t>Courier – Excellent</w:t>
      </w:r>
    </w:p>
    <w:p w14:paraId="62E167BD" w14:textId="77777777" w:rsidR="00B35382" w:rsidRDefault="00F354E2" w:rsidP="00F354E2">
      <w:pPr>
        <w:pStyle w:val="ListParagraph"/>
        <w:numPr>
          <w:ilvl w:val="0"/>
          <w:numId w:val="3"/>
        </w:numPr>
      </w:pPr>
      <w:r>
        <w:t>OCR B – Excellent</w:t>
      </w:r>
    </w:p>
    <w:p w14:paraId="50102F28" w14:textId="77777777" w:rsidR="00B35382" w:rsidRDefault="00F354E2" w:rsidP="00F354E2">
      <w:pPr>
        <w:pStyle w:val="ListParagraph"/>
        <w:numPr>
          <w:ilvl w:val="0"/>
          <w:numId w:val="3"/>
        </w:numPr>
      </w:pPr>
      <w:r>
        <w:t>OCR A – Very Good</w:t>
      </w:r>
    </w:p>
    <w:p w14:paraId="62F37AEC" w14:textId="77777777" w:rsidR="00B35382" w:rsidRDefault="00F354E2" w:rsidP="00F354E2">
      <w:pPr>
        <w:pStyle w:val="ListParagraph"/>
        <w:numPr>
          <w:ilvl w:val="0"/>
          <w:numId w:val="3"/>
        </w:numPr>
      </w:pPr>
      <w:r>
        <w:t>Helvetica – Very Good</w:t>
      </w:r>
    </w:p>
    <w:p w14:paraId="63463253" w14:textId="235DDCFC" w:rsidR="00F354E2" w:rsidRDefault="00F354E2" w:rsidP="00F354E2">
      <w:pPr>
        <w:pStyle w:val="ListParagraph"/>
        <w:numPr>
          <w:ilvl w:val="0"/>
          <w:numId w:val="3"/>
        </w:numPr>
      </w:pPr>
      <w:r>
        <w:t>Times New Roman – Good</w:t>
      </w:r>
    </w:p>
    <w:p w14:paraId="42147C10" w14:textId="31573CC4" w:rsidR="00AC391D" w:rsidRDefault="00AC391D" w:rsidP="00AC391D">
      <w:pPr>
        <w:pStyle w:val="Heading1"/>
      </w:pPr>
      <w:r>
        <w:t>Icons</w:t>
      </w:r>
    </w:p>
    <w:p w14:paraId="7AC305CA" w14:textId="7C532637" w:rsidR="000C6839" w:rsidRPr="000C6839" w:rsidRDefault="000C6839" w:rsidP="000C6839">
      <w:r>
        <w:t>There are several situations where the Delaware form will display an icon.  This is not required by a software developer.  The Delaware logo for the forms should be included in the upper left-hand corner following the size and placement as illustrated in the forms.  The PNG file can be provided upon request.  It is not the Delaware seal</w:t>
      </w:r>
    </w:p>
    <w:p w14:paraId="27DE8041" w14:textId="1CEE121B" w:rsidR="00AC391D" w:rsidRDefault="00AC391D" w:rsidP="00AC391D">
      <w:pPr>
        <w:pStyle w:val="Heading1"/>
      </w:pPr>
      <w:r>
        <w:t>Field Alignment</w:t>
      </w:r>
    </w:p>
    <w:p w14:paraId="74394EAD" w14:textId="2CDF5862" w:rsidR="000C6839" w:rsidRDefault="000C6839" w:rsidP="000C6839">
      <w:r>
        <w:t xml:space="preserve">Most fields that will be scanned as indicated in our BLOL files should be center-aligned except for currency which should be right-aligned.  Please leave room to ensure the </w:t>
      </w:r>
      <w:r>
        <w:lastRenderedPageBreak/>
        <w:t>entirety of the values fits within the BLOL overlay.  If in doubt for the right-justified or left-justified fields, leave 1 extra cell buffer within the field.</w:t>
      </w:r>
    </w:p>
    <w:p w14:paraId="0F4E7DEC" w14:textId="514183CD" w:rsidR="00EF2FA3" w:rsidRDefault="00EF2FA3">
      <w:r>
        <w:br w:type="page"/>
      </w:r>
    </w:p>
    <w:p w14:paraId="2DC8A7C9" w14:textId="29EC35EC" w:rsidR="00792D02" w:rsidRDefault="00792D02" w:rsidP="00792D02">
      <w:pPr>
        <w:pStyle w:val="Heading1"/>
      </w:pPr>
      <w:r>
        <w:lastRenderedPageBreak/>
        <w:t>Form Barcode Values</w:t>
      </w:r>
    </w:p>
    <w:p w14:paraId="7C677112" w14:textId="77777777" w:rsidR="00792D02" w:rsidRPr="00792D02" w:rsidRDefault="00792D02" w:rsidP="00792D02">
      <w:pPr>
        <w:rPr>
          <w:rFonts w:cs="Open Sans"/>
        </w:rPr>
      </w:pPr>
      <w:r w:rsidRPr="00792D02">
        <w:rPr>
          <w:rFonts w:cs="Open Sans"/>
        </w:rPr>
        <w:t>AABBBBBBCCCCDDEEEEFF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5275"/>
        <w:gridCol w:w="2997"/>
      </w:tblGrid>
      <w:tr w:rsidR="00792D02" w:rsidRPr="00EF2FA3" w14:paraId="0520F2FD" w14:textId="77777777" w:rsidTr="005146B6">
        <w:tc>
          <w:tcPr>
            <w:tcW w:w="1078" w:type="dxa"/>
          </w:tcPr>
          <w:p w14:paraId="2769BF4B" w14:textId="77777777" w:rsidR="00792D02" w:rsidRPr="00EF2FA3" w:rsidRDefault="00792D02" w:rsidP="005146B6">
            <w:pPr>
              <w:rPr>
                <w:rFonts w:cs="Open Sans"/>
                <w:b/>
                <w:bCs/>
                <w:sz w:val="20"/>
                <w:szCs w:val="20"/>
              </w:rPr>
            </w:pPr>
            <w:r w:rsidRPr="00EF2FA3">
              <w:rPr>
                <w:rFonts w:cs="Open Sans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75" w:type="dxa"/>
          </w:tcPr>
          <w:p w14:paraId="1EDC6E8C" w14:textId="77777777" w:rsidR="00792D02" w:rsidRPr="00EF2FA3" w:rsidRDefault="00792D02" w:rsidP="005146B6">
            <w:pPr>
              <w:rPr>
                <w:rFonts w:cs="Open Sans"/>
                <w:b/>
                <w:bCs/>
                <w:sz w:val="20"/>
                <w:szCs w:val="20"/>
              </w:rPr>
            </w:pPr>
            <w:r w:rsidRPr="00EF2FA3">
              <w:rPr>
                <w:rFonts w:cs="Open Sans"/>
                <w:b/>
                <w:bCs/>
                <w:sz w:val="20"/>
                <w:szCs w:val="20"/>
              </w:rPr>
              <w:t>Definition</w:t>
            </w:r>
          </w:p>
        </w:tc>
        <w:tc>
          <w:tcPr>
            <w:tcW w:w="2997" w:type="dxa"/>
          </w:tcPr>
          <w:p w14:paraId="0989C395" w14:textId="77777777" w:rsidR="00792D02" w:rsidRPr="00EF2FA3" w:rsidRDefault="00792D02" w:rsidP="005146B6">
            <w:pPr>
              <w:rPr>
                <w:rFonts w:cs="Open Sans"/>
                <w:b/>
                <w:bCs/>
                <w:sz w:val="20"/>
                <w:szCs w:val="20"/>
              </w:rPr>
            </w:pPr>
            <w:r w:rsidRPr="00EF2FA3">
              <w:rPr>
                <w:rFonts w:cs="Open Sans"/>
                <w:b/>
                <w:bCs/>
                <w:sz w:val="20"/>
                <w:szCs w:val="20"/>
              </w:rPr>
              <w:t>Example</w:t>
            </w:r>
          </w:p>
        </w:tc>
      </w:tr>
      <w:tr w:rsidR="00792D02" w:rsidRPr="00EF2FA3" w14:paraId="3D7F3C9C" w14:textId="77777777" w:rsidTr="005146B6">
        <w:tc>
          <w:tcPr>
            <w:tcW w:w="1078" w:type="dxa"/>
          </w:tcPr>
          <w:p w14:paraId="5C168ECD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AA</w:t>
            </w:r>
          </w:p>
        </w:tc>
        <w:tc>
          <w:tcPr>
            <w:tcW w:w="5275" w:type="dxa"/>
          </w:tcPr>
          <w:p w14:paraId="687145D5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Literal “DF”</w:t>
            </w:r>
          </w:p>
        </w:tc>
        <w:tc>
          <w:tcPr>
            <w:tcW w:w="2997" w:type="dxa"/>
          </w:tcPr>
          <w:p w14:paraId="5C90E3C7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Unchanging, always “DF”</w:t>
            </w:r>
          </w:p>
        </w:tc>
      </w:tr>
      <w:tr w:rsidR="00792D02" w:rsidRPr="00EF2FA3" w14:paraId="6F20B4E9" w14:textId="77777777" w:rsidTr="005146B6">
        <w:tc>
          <w:tcPr>
            <w:tcW w:w="1078" w:type="dxa"/>
          </w:tcPr>
          <w:p w14:paraId="5544F50D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BBBBBB</w:t>
            </w:r>
          </w:p>
        </w:tc>
        <w:tc>
          <w:tcPr>
            <w:tcW w:w="5275" w:type="dxa"/>
          </w:tcPr>
          <w:p w14:paraId="5179DF65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Form ID (without the dash)</w:t>
            </w:r>
          </w:p>
        </w:tc>
        <w:tc>
          <w:tcPr>
            <w:tcW w:w="2997" w:type="dxa"/>
          </w:tcPr>
          <w:p w14:paraId="4B7C0034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PITRES</w:t>
            </w:r>
          </w:p>
        </w:tc>
      </w:tr>
      <w:tr w:rsidR="00792D02" w:rsidRPr="00EF2FA3" w14:paraId="6D6493D9" w14:textId="77777777" w:rsidTr="005146B6">
        <w:tc>
          <w:tcPr>
            <w:tcW w:w="1078" w:type="dxa"/>
          </w:tcPr>
          <w:p w14:paraId="54C94FAC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CCCC</w:t>
            </w:r>
          </w:p>
        </w:tc>
        <w:tc>
          <w:tcPr>
            <w:tcW w:w="5275" w:type="dxa"/>
          </w:tcPr>
          <w:p w14:paraId="4A024B3B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Creation Year – Represents the year of the form</w:t>
            </w:r>
          </w:p>
        </w:tc>
        <w:tc>
          <w:tcPr>
            <w:tcW w:w="2997" w:type="dxa"/>
          </w:tcPr>
          <w:p w14:paraId="550CF6CA" w14:textId="4E52F204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202</w:t>
            </w:r>
            <w:r w:rsidR="004A4305">
              <w:rPr>
                <w:rFonts w:cs="Open Sans"/>
                <w:sz w:val="20"/>
                <w:szCs w:val="20"/>
              </w:rPr>
              <w:t>3</w:t>
            </w:r>
          </w:p>
        </w:tc>
      </w:tr>
      <w:tr w:rsidR="00792D02" w:rsidRPr="00EF2FA3" w14:paraId="4B1E8AAB" w14:textId="77777777" w:rsidTr="005146B6">
        <w:tc>
          <w:tcPr>
            <w:tcW w:w="1078" w:type="dxa"/>
          </w:tcPr>
          <w:p w14:paraId="4688DE53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DD</w:t>
            </w:r>
          </w:p>
        </w:tc>
        <w:tc>
          <w:tcPr>
            <w:tcW w:w="5275" w:type="dxa"/>
          </w:tcPr>
          <w:p w14:paraId="0BC5DE9D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Page number – The page of the form</w:t>
            </w:r>
          </w:p>
        </w:tc>
        <w:tc>
          <w:tcPr>
            <w:tcW w:w="2997" w:type="dxa"/>
          </w:tcPr>
          <w:p w14:paraId="40F9D2F3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01</w:t>
            </w:r>
          </w:p>
        </w:tc>
      </w:tr>
      <w:tr w:rsidR="00792D02" w:rsidRPr="00EF2FA3" w14:paraId="31509417" w14:textId="77777777" w:rsidTr="005146B6">
        <w:tc>
          <w:tcPr>
            <w:tcW w:w="1078" w:type="dxa"/>
          </w:tcPr>
          <w:p w14:paraId="6DBAAC84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EEEE</w:t>
            </w:r>
          </w:p>
        </w:tc>
        <w:tc>
          <w:tcPr>
            <w:tcW w:w="5275" w:type="dxa"/>
          </w:tcPr>
          <w:p w14:paraId="2D794176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Vendor ID – Allows us to identify DOR vs. NACTP paper</w:t>
            </w:r>
          </w:p>
        </w:tc>
        <w:tc>
          <w:tcPr>
            <w:tcW w:w="2997" w:type="dxa"/>
          </w:tcPr>
          <w:p w14:paraId="1FD108F0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“9999” = DOR</w:t>
            </w:r>
          </w:p>
        </w:tc>
      </w:tr>
      <w:tr w:rsidR="00792D02" w:rsidRPr="00EF2FA3" w14:paraId="664E6D92" w14:textId="77777777" w:rsidTr="005146B6">
        <w:tc>
          <w:tcPr>
            <w:tcW w:w="1078" w:type="dxa"/>
          </w:tcPr>
          <w:p w14:paraId="7B4DF2F8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FF</w:t>
            </w:r>
          </w:p>
        </w:tc>
        <w:tc>
          <w:tcPr>
            <w:tcW w:w="5275" w:type="dxa"/>
          </w:tcPr>
          <w:p w14:paraId="786F1245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 xml:space="preserve">Version – Version of the published form.  This is always “V1” the first time it is published within the same design and only increments if there are no other changes in BLOL.  </w:t>
            </w:r>
            <w:r w:rsidRPr="00EF2FA3">
              <w:rPr>
                <w:rFonts w:cs="Open Sans"/>
                <w:b/>
                <w:bCs/>
                <w:sz w:val="20"/>
                <w:szCs w:val="20"/>
              </w:rPr>
              <w:t>It is ignored by FFX and only used for DOR</w:t>
            </w:r>
            <w:r w:rsidRPr="00EF2FA3">
              <w:rPr>
                <w:rFonts w:cs="Open Sans"/>
                <w:sz w:val="20"/>
                <w:szCs w:val="20"/>
              </w:rPr>
              <w:t>.  Example updates include typo corrections, mailing address changes, or other copy updates.</w:t>
            </w:r>
          </w:p>
        </w:tc>
        <w:tc>
          <w:tcPr>
            <w:tcW w:w="2997" w:type="dxa"/>
          </w:tcPr>
          <w:p w14:paraId="581CDCC6" w14:textId="77777777" w:rsidR="00792D02" w:rsidRPr="00EF2FA3" w:rsidRDefault="00792D02" w:rsidP="005146B6">
            <w:pPr>
              <w:rPr>
                <w:rFonts w:cs="Open Sans"/>
                <w:sz w:val="20"/>
                <w:szCs w:val="20"/>
              </w:rPr>
            </w:pPr>
            <w:r w:rsidRPr="00EF2FA3">
              <w:rPr>
                <w:rFonts w:cs="Open Sans"/>
                <w:sz w:val="20"/>
                <w:szCs w:val="20"/>
              </w:rPr>
              <w:t>V1</w:t>
            </w:r>
          </w:p>
        </w:tc>
      </w:tr>
    </w:tbl>
    <w:p w14:paraId="3BB438FF" w14:textId="77777777" w:rsidR="00EF2FA3" w:rsidRDefault="00EF2FA3" w:rsidP="00792D02">
      <w:pPr>
        <w:autoSpaceDE w:val="0"/>
        <w:autoSpaceDN w:val="0"/>
        <w:spacing w:before="40" w:after="40" w:line="240" w:lineRule="auto"/>
        <w:rPr>
          <w:rFonts w:cs="Open Sans"/>
          <w:b/>
          <w:bCs/>
        </w:rPr>
      </w:pPr>
    </w:p>
    <w:p w14:paraId="2EFE27AD" w14:textId="033C4F20" w:rsidR="00792D02" w:rsidRPr="00792D02" w:rsidRDefault="00792D02" w:rsidP="00792D02">
      <w:pPr>
        <w:autoSpaceDE w:val="0"/>
        <w:autoSpaceDN w:val="0"/>
        <w:spacing w:before="40" w:after="40" w:line="240" w:lineRule="auto"/>
        <w:rPr>
          <w:rFonts w:cs="Open Sans"/>
          <w:color w:val="000000"/>
        </w:rPr>
      </w:pPr>
      <w:r w:rsidRPr="00792D02">
        <w:rPr>
          <w:rFonts w:cs="Open Sans"/>
          <w:b/>
          <w:bCs/>
        </w:rPr>
        <w:t>Scanner Mask to Support New Barcode Structure:</w:t>
      </w:r>
      <w:r w:rsidRPr="00792D02">
        <w:rPr>
          <w:rFonts w:cs="Open Sans"/>
        </w:rPr>
        <w:t xml:space="preserve"> </w:t>
      </w:r>
      <w:r w:rsidRPr="00792D02">
        <w:rPr>
          <w:rFonts w:cs="Open Sans"/>
          <w:color w:val="000000"/>
        </w:rPr>
        <w:t>^DF\d{</w:t>
      </w:r>
      <w:proofErr w:type="gramStart"/>
      <w:r w:rsidRPr="00792D02">
        <w:rPr>
          <w:rFonts w:cs="Open Sans"/>
          <w:color w:val="000000"/>
        </w:rPr>
        <w:t>9}$</w:t>
      </w:r>
      <w:proofErr w:type="gramEnd"/>
      <w:r w:rsidRPr="00792D02">
        <w:rPr>
          <w:rFonts w:cs="Open Sans"/>
          <w:color w:val="000000"/>
        </w:rPr>
        <w:t xml:space="preserve">|^DF\d{11}$|^DF\d{11}V\d{1,2}$|^DF\w{6}\d{10}V\d{1,2}$ </w:t>
      </w:r>
    </w:p>
    <w:p w14:paraId="6744D117" w14:textId="77777777" w:rsidR="00792D02" w:rsidRPr="00792D02" w:rsidRDefault="00792D02" w:rsidP="00792D02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="Open Sans"/>
        </w:rPr>
      </w:pPr>
      <w:r w:rsidRPr="00792D02">
        <w:rPr>
          <w:rFonts w:cs="Open Sans"/>
        </w:rPr>
        <w:t>Coupon Money</w:t>
      </w:r>
    </w:p>
    <w:p w14:paraId="561656DD" w14:textId="77777777" w:rsidR="00792D02" w:rsidRPr="00792D02" w:rsidRDefault="00792D02" w:rsidP="00792D02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="Open Sans"/>
        </w:rPr>
      </w:pPr>
      <w:r w:rsidRPr="00792D02">
        <w:rPr>
          <w:rFonts w:cs="Open Sans"/>
        </w:rPr>
        <w:t>Coupon No Money</w:t>
      </w:r>
    </w:p>
    <w:p w14:paraId="320F51A0" w14:textId="77777777" w:rsidR="00792D02" w:rsidRPr="00792D02" w:rsidRDefault="00792D02" w:rsidP="00792D02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="Open Sans"/>
        </w:rPr>
      </w:pPr>
      <w:r w:rsidRPr="00792D02">
        <w:rPr>
          <w:rFonts w:cs="Open Sans"/>
        </w:rPr>
        <w:t>Longform Money</w:t>
      </w:r>
    </w:p>
    <w:p w14:paraId="10BB2BD6" w14:textId="77777777" w:rsidR="00792D02" w:rsidRPr="00792D02" w:rsidRDefault="00792D02" w:rsidP="00792D02">
      <w:pPr>
        <w:pStyle w:val="ListParagraph"/>
        <w:numPr>
          <w:ilvl w:val="0"/>
          <w:numId w:val="2"/>
        </w:numPr>
        <w:autoSpaceDE w:val="0"/>
        <w:autoSpaceDN w:val="0"/>
        <w:spacing w:before="40" w:after="40" w:line="240" w:lineRule="auto"/>
        <w:rPr>
          <w:rFonts w:cs="Open Sans"/>
        </w:rPr>
      </w:pPr>
      <w:r w:rsidRPr="00792D02">
        <w:rPr>
          <w:rFonts w:cs="Open Sans"/>
        </w:rPr>
        <w:t>Longform No Money</w:t>
      </w:r>
    </w:p>
    <w:p w14:paraId="463CE639" w14:textId="710D268C" w:rsidR="00A27F38" w:rsidRDefault="00A27F38" w:rsidP="00A27F38">
      <w:pPr>
        <w:pStyle w:val="Heading1"/>
      </w:pPr>
      <w:r>
        <w:t>Form Outputs</w:t>
      </w:r>
    </w:p>
    <w:p w14:paraId="77ADD8A6" w14:textId="570F54B5" w:rsidR="00AD2DB8" w:rsidRPr="006A30D1" w:rsidRDefault="00584540" w:rsidP="00A27F38">
      <w:r>
        <w:t xml:space="preserve">The overall recommendation from the Division of Revenue is for vendors to use the No Line (NL) outputs for optimal print to mail scanning success rate.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155"/>
        <w:gridCol w:w="2250"/>
        <w:gridCol w:w="5850"/>
      </w:tblGrid>
      <w:tr w:rsidR="00A27F38" w:rsidRPr="00EF2FA3" w14:paraId="04D6BB18" w14:textId="77777777" w:rsidTr="00EF2FA3">
        <w:tc>
          <w:tcPr>
            <w:tcW w:w="2155" w:type="dxa"/>
          </w:tcPr>
          <w:p w14:paraId="20208757" w14:textId="0758BCF7" w:rsidR="00A27F38" w:rsidRPr="00EF2FA3" w:rsidRDefault="00A27F38" w:rsidP="00A27F38">
            <w:pPr>
              <w:rPr>
                <w:b/>
                <w:bCs/>
                <w:sz w:val="20"/>
                <w:szCs w:val="20"/>
              </w:rPr>
            </w:pPr>
            <w:bookmarkStart w:id="0" w:name="_Hlk89159387"/>
            <w:r w:rsidRPr="00EF2FA3">
              <w:rPr>
                <w:b/>
                <w:bCs/>
                <w:sz w:val="20"/>
                <w:szCs w:val="20"/>
              </w:rPr>
              <w:t>Output Type – Legacy Form</w:t>
            </w:r>
          </w:p>
        </w:tc>
        <w:tc>
          <w:tcPr>
            <w:tcW w:w="2250" w:type="dxa"/>
          </w:tcPr>
          <w:p w14:paraId="400DACDD" w14:textId="401F6D4E" w:rsidR="00A27F38" w:rsidRPr="00EF2FA3" w:rsidRDefault="00A27F38" w:rsidP="00A27F38">
            <w:pPr>
              <w:rPr>
                <w:b/>
                <w:bCs/>
                <w:sz w:val="20"/>
                <w:szCs w:val="20"/>
              </w:rPr>
            </w:pPr>
            <w:r w:rsidRPr="00EF2FA3">
              <w:rPr>
                <w:b/>
                <w:bCs/>
                <w:sz w:val="20"/>
                <w:szCs w:val="20"/>
              </w:rPr>
              <w:t>Output Type -</w:t>
            </w:r>
            <w:r w:rsidR="00EF2CEB" w:rsidRPr="00EF2FA3">
              <w:rPr>
                <w:b/>
                <w:bCs/>
                <w:sz w:val="20"/>
                <w:szCs w:val="20"/>
              </w:rPr>
              <w:t xml:space="preserve"> </w:t>
            </w:r>
            <w:r w:rsidRPr="00EF2FA3">
              <w:rPr>
                <w:b/>
                <w:bCs/>
                <w:sz w:val="20"/>
                <w:szCs w:val="20"/>
              </w:rPr>
              <w:t>Modernized Form</w:t>
            </w:r>
          </w:p>
        </w:tc>
        <w:tc>
          <w:tcPr>
            <w:tcW w:w="5850" w:type="dxa"/>
          </w:tcPr>
          <w:p w14:paraId="67AD77B8" w14:textId="0B4BB5EB" w:rsidR="00A27F38" w:rsidRPr="00EF2FA3" w:rsidRDefault="00A27F38" w:rsidP="00A27F38">
            <w:pPr>
              <w:rPr>
                <w:b/>
                <w:bCs/>
                <w:sz w:val="20"/>
                <w:szCs w:val="20"/>
              </w:rPr>
            </w:pPr>
            <w:r w:rsidRPr="00EF2FA3">
              <w:rPr>
                <w:b/>
                <w:bCs/>
                <w:sz w:val="20"/>
                <w:szCs w:val="20"/>
              </w:rPr>
              <w:t>Use Description</w:t>
            </w:r>
          </w:p>
        </w:tc>
      </w:tr>
      <w:tr w:rsidR="00A27F38" w:rsidRPr="00EF2FA3" w14:paraId="6BB43B34" w14:textId="77777777" w:rsidTr="00EF2FA3">
        <w:tc>
          <w:tcPr>
            <w:tcW w:w="2155" w:type="dxa"/>
          </w:tcPr>
          <w:p w14:paraId="24F10057" w14:textId="6505EEDA" w:rsidR="00A27F38" w:rsidRPr="00EF2FA3" w:rsidRDefault="00A27F38" w:rsidP="00A27F38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No Line</w:t>
            </w:r>
          </w:p>
        </w:tc>
        <w:tc>
          <w:tcPr>
            <w:tcW w:w="2250" w:type="dxa"/>
          </w:tcPr>
          <w:p w14:paraId="39595F1F" w14:textId="67A57E10" w:rsidR="00A27F38" w:rsidRPr="00EF2FA3" w:rsidRDefault="00A27F38" w:rsidP="00A27F38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NL</w:t>
            </w:r>
          </w:p>
        </w:tc>
        <w:tc>
          <w:tcPr>
            <w:tcW w:w="5850" w:type="dxa"/>
          </w:tcPr>
          <w:p w14:paraId="34A2FC42" w14:textId="37E0380A" w:rsidR="00A27F38" w:rsidRPr="00EF2FA3" w:rsidRDefault="00A27F38" w:rsidP="00A27F38">
            <w:pPr>
              <w:rPr>
                <w:rFonts w:ascii="Calibri" w:hAnsi="Calibri"/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For vendors to use to create their version if their software darkens the gr</w:t>
            </w:r>
            <w:r w:rsidR="00584540" w:rsidRPr="00EF2FA3">
              <w:rPr>
                <w:sz w:val="20"/>
                <w:szCs w:val="20"/>
              </w:rPr>
              <w:t>a</w:t>
            </w:r>
            <w:r w:rsidRPr="00EF2FA3">
              <w:rPr>
                <w:sz w:val="20"/>
                <w:szCs w:val="20"/>
              </w:rPr>
              <w:t>y lines from the Gray Line</w:t>
            </w:r>
            <w:r w:rsidR="00EF2FA3" w:rsidRPr="00EF2FA3">
              <w:rPr>
                <w:sz w:val="20"/>
                <w:szCs w:val="20"/>
              </w:rPr>
              <w:t>.</w:t>
            </w:r>
          </w:p>
        </w:tc>
      </w:tr>
      <w:tr w:rsidR="00A27F38" w:rsidRPr="00EF2FA3" w14:paraId="2C7FB785" w14:textId="77777777" w:rsidTr="00EF2FA3">
        <w:tc>
          <w:tcPr>
            <w:tcW w:w="2155" w:type="dxa"/>
          </w:tcPr>
          <w:p w14:paraId="5B1BD71B" w14:textId="55731570" w:rsidR="00A27F38" w:rsidRPr="00EF2FA3" w:rsidRDefault="00EF2FA3" w:rsidP="00A27F38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O</w:t>
            </w:r>
            <w:r w:rsidR="00A27F38" w:rsidRPr="00EF2FA3">
              <w:rPr>
                <w:sz w:val="20"/>
                <w:szCs w:val="20"/>
              </w:rPr>
              <w:t>verlay</w:t>
            </w:r>
          </w:p>
        </w:tc>
        <w:tc>
          <w:tcPr>
            <w:tcW w:w="2250" w:type="dxa"/>
          </w:tcPr>
          <w:p w14:paraId="7616985A" w14:textId="78D78E37" w:rsidR="00A27F38" w:rsidRPr="00EF2FA3" w:rsidRDefault="00A27F38" w:rsidP="00A27F38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BLOL</w:t>
            </w:r>
            <w:r w:rsidR="00EF2FA3" w:rsidRPr="00EF2FA3">
              <w:rPr>
                <w:sz w:val="20"/>
                <w:szCs w:val="20"/>
              </w:rPr>
              <w:t xml:space="preserve"> </w:t>
            </w:r>
            <w:r w:rsidR="00EF2FA3" w:rsidRPr="00EF2FA3">
              <w:rPr>
                <w:i/>
                <w:iCs/>
                <w:sz w:val="20"/>
                <w:szCs w:val="20"/>
              </w:rPr>
              <w:t>(Black Line/OL)</w:t>
            </w:r>
          </w:p>
        </w:tc>
        <w:tc>
          <w:tcPr>
            <w:tcW w:w="5850" w:type="dxa"/>
          </w:tcPr>
          <w:p w14:paraId="5BDF9C65" w14:textId="1180B17B" w:rsidR="00A27F38" w:rsidRPr="00EF2FA3" w:rsidRDefault="00A27F38" w:rsidP="00A27F38">
            <w:pPr>
              <w:rPr>
                <w:rFonts w:ascii="Calibri" w:hAnsi="Calibri"/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For vendor to check if the data fields are in the correct areas</w:t>
            </w:r>
            <w:r w:rsidR="00EF2CEB" w:rsidRPr="00EF2FA3">
              <w:rPr>
                <w:sz w:val="20"/>
                <w:szCs w:val="20"/>
              </w:rPr>
              <w:t xml:space="preserve"> of the form</w:t>
            </w:r>
            <w:r w:rsidRPr="00EF2FA3">
              <w:rPr>
                <w:sz w:val="20"/>
                <w:szCs w:val="20"/>
              </w:rPr>
              <w:t>.</w:t>
            </w:r>
          </w:p>
        </w:tc>
      </w:tr>
      <w:bookmarkEnd w:id="0"/>
      <w:tr w:rsidR="00584540" w:rsidRPr="00EF2FA3" w14:paraId="42AC977E" w14:textId="77777777" w:rsidTr="00EF2FA3">
        <w:tc>
          <w:tcPr>
            <w:tcW w:w="2155" w:type="dxa"/>
          </w:tcPr>
          <w:p w14:paraId="66AB38B5" w14:textId="77777777" w:rsidR="00584540" w:rsidRPr="00EF2FA3" w:rsidRDefault="00584540" w:rsidP="00037EA0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Gray Line</w:t>
            </w:r>
          </w:p>
        </w:tc>
        <w:tc>
          <w:tcPr>
            <w:tcW w:w="2250" w:type="dxa"/>
          </w:tcPr>
          <w:p w14:paraId="51AB61DA" w14:textId="77777777" w:rsidR="00584540" w:rsidRPr="00EF2FA3" w:rsidRDefault="00584540" w:rsidP="00037EA0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Base Form</w:t>
            </w:r>
          </w:p>
        </w:tc>
        <w:tc>
          <w:tcPr>
            <w:tcW w:w="5850" w:type="dxa"/>
          </w:tcPr>
          <w:p w14:paraId="36D5C9D4" w14:textId="7ED120B2" w:rsidR="00584540" w:rsidRPr="00EF2FA3" w:rsidRDefault="00584540" w:rsidP="00037EA0">
            <w:pPr>
              <w:rPr>
                <w:sz w:val="20"/>
                <w:szCs w:val="20"/>
              </w:rPr>
            </w:pPr>
            <w:r w:rsidRPr="00EF2FA3">
              <w:rPr>
                <w:sz w:val="20"/>
                <w:szCs w:val="20"/>
              </w:rPr>
              <w:t>Alternate option from the No Line for vendors to use to create their version</w:t>
            </w:r>
            <w:r w:rsidR="00EF2FA3" w:rsidRPr="00EF2FA3">
              <w:rPr>
                <w:sz w:val="20"/>
                <w:szCs w:val="20"/>
              </w:rPr>
              <w:t>.</w:t>
            </w:r>
          </w:p>
        </w:tc>
      </w:tr>
    </w:tbl>
    <w:p w14:paraId="3775AF3F" w14:textId="1787B8C8" w:rsidR="00A27F38" w:rsidRPr="00A27F38" w:rsidRDefault="00A27F38" w:rsidP="00EF2FA3"/>
    <w:sectPr w:rsidR="00A27F38" w:rsidRPr="00A27F38" w:rsidSect="000C6839">
      <w:headerReference w:type="default" r:id="rId9"/>
      <w:foot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7FF2" w14:textId="77777777" w:rsidR="002F3B25" w:rsidRDefault="002F3B25" w:rsidP="002F3B25">
      <w:pPr>
        <w:spacing w:after="0" w:line="240" w:lineRule="auto"/>
      </w:pPr>
      <w:r>
        <w:separator/>
      </w:r>
    </w:p>
  </w:endnote>
  <w:endnote w:type="continuationSeparator" w:id="0">
    <w:p w14:paraId="340D104B" w14:textId="77777777" w:rsidR="002F3B25" w:rsidRDefault="002F3B25" w:rsidP="002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462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80B1E" w14:textId="0B16149B" w:rsidR="002F3B25" w:rsidRDefault="002F3B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1C962" w14:textId="77777777" w:rsidR="002F3B25" w:rsidRDefault="002F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CC0" w14:textId="77777777" w:rsidR="002F3B25" w:rsidRDefault="002F3B25" w:rsidP="002F3B25">
      <w:pPr>
        <w:spacing w:after="0" w:line="240" w:lineRule="auto"/>
      </w:pPr>
      <w:r>
        <w:separator/>
      </w:r>
    </w:p>
  </w:footnote>
  <w:footnote w:type="continuationSeparator" w:id="0">
    <w:p w14:paraId="28F557E0" w14:textId="77777777" w:rsidR="002F3B25" w:rsidRDefault="002F3B25" w:rsidP="002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1269" w14:textId="6950955F" w:rsidR="002F3B25" w:rsidRDefault="002F3B25" w:rsidP="002F3B25">
    <w:pPr>
      <w:pStyle w:val="Title"/>
      <w:jc w:val="center"/>
    </w:pPr>
    <w:r>
      <w:t>State of Delaware Tax Form General Specifications</w:t>
    </w:r>
  </w:p>
  <w:p w14:paraId="5ED71D0F" w14:textId="0969299B" w:rsidR="002F3B25" w:rsidRDefault="002F3B25" w:rsidP="002F3B25">
    <w:pPr>
      <w:jc w:val="center"/>
      <w:rPr>
        <w:b/>
        <w:bCs/>
      </w:rPr>
    </w:pPr>
    <w:r w:rsidRPr="005C7385">
      <w:rPr>
        <w:b/>
        <w:bCs/>
      </w:rPr>
      <w:t>Division of Revenue</w:t>
    </w:r>
  </w:p>
  <w:p w14:paraId="226DD39C" w14:textId="771F0C07" w:rsidR="002F3B25" w:rsidRDefault="002F3B25" w:rsidP="002F3B25">
    <w:pPr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_______________________________________________________________________________________________________</w:t>
    </w:r>
  </w:p>
  <w:p w14:paraId="5F69C6C5" w14:textId="3347ECB4" w:rsidR="002F3B25" w:rsidRDefault="002F3B25">
    <w:pPr>
      <w:pStyle w:val="Header"/>
    </w:pPr>
  </w:p>
  <w:p w14:paraId="50EF84AC" w14:textId="77777777" w:rsidR="002F3B25" w:rsidRDefault="002F3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C48"/>
    <w:multiLevelType w:val="hybridMultilevel"/>
    <w:tmpl w:val="4D6E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3E08"/>
    <w:multiLevelType w:val="hybridMultilevel"/>
    <w:tmpl w:val="F21A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D295C"/>
    <w:multiLevelType w:val="hybridMultilevel"/>
    <w:tmpl w:val="F4F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7453">
    <w:abstractNumId w:val="2"/>
  </w:num>
  <w:num w:numId="2" w16cid:durableId="918633443">
    <w:abstractNumId w:val="1"/>
  </w:num>
  <w:num w:numId="3" w16cid:durableId="2586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NTMzsTC2MDa3NDRR0lEKTi0uzszPAykwqgUA5fsnNiwAAAA="/>
  </w:docVars>
  <w:rsids>
    <w:rsidRoot w:val="0047471C"/>
    <w:rsid w:val="000C4856"/>
    <w:rsid w:val="000C6839"/>
    <w:rsid w:val="002C4712"/>
    <w:rsid w:val="002F3B25"/>
    <w:rsid w:val="0047471C"/>
    <w:rsid w:val="004A4305"/>
    <w:rsid w:val="004F134B"/>
    <w:rsid w:val="00584540"/>
    <w:rsid w:val="005C7385"/>
    <w:rsid w:val="00682CD9"/>
    <w:rsid w:val="006A30D1"/>
    <w:rsid w:val="006F5B88"/>
    <w:rsid w:val="00792D02"/>
    <w:rsid w:val="00827C86"/>
    <w:rsid w:val="008D66F7"/>
    <w:rsid w:val="009E50A0"/>
    <w:rsid w:val="00A27F38"/>
    <w:rsid w:val="00AC391D"/>
    <w:rsid w:val="00AD2DB8"/>
    <w:rsid w:val="00AF56FF"/>
    <w:rsid w:val="00B35382"/>
    <w:rsid w:val="00BE5C8F"/>
    <w:rsid w:val="00D75BF8"/>
    <w:rsid w:val="00E2125A"/>
    <w:rsid w:val="00EF2CEB"/>
    <w:rsid w:val="00EF2FA3"/>
    <w:rsid w:val="00F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88DE"/>
  <w15:chartTrackingRefBased/>
  <w15:docId w15:val="{CB51DC84-6645-497A-ABAE-D9C9909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1C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71C"/>
    <w:pPr>
      <w:keepNext/>
      <w:keepLines/>
      <w:spacing w:before="240" w:after="0"/>
      <w:outlineLvl w:val="0"/>
    </w:pPr>
    <w:rPr>
      <w:rFonts w:ascii="Open Sans Condensed Light" w:eastAsiaTheme="majorEastAsia" w:hAnsi="Open Sans Condensed Ligh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71C"/>
    <w:pPr>
      <w:keepNext/>
      <w:keepLines/>
      <w:spacing w:before="40" w:after="0"/>
      <w:outlineLvl w:val="1"/>
    </w:pPr>
    <w:rPr>
      <w:rFonts w:ascii="Open Sans Condensed Light" w:eastAsiaTheme="majorEastAsia" w:hAnsi="Open Sans Condensed Ligh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71C"/>
    <w:rPr>
      <w:rFonts w:ascii="Open Sans Condensed Light" w:eastAsiaTheme="majorEastAsia" w:hAnsi="Open Sans Condensed Light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71C"/>
    <w:rPr>
      <w:rFonts w:ascii="Open Sans Condensed Light" w:eastAsiaTheme="majorEastAsia" w:hAnsi="Open Sans Condensed Light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7471C"/>
    <w:pPr>
      <w:spacing w:after="0" w:line="240" w:lineRule="auto"/>
      <w:contextualSpacing/>
    </w:pPr>
    <w:rPr>
      <w:rFonts w:ascii="Open Sans Condensed Light" w:eastAsiaTheme="majorEastAsia" w:hAnsi="Open Sans Condensed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71C"/>
    <w:rPr>
      <w:rFonts w:ascii="Open Sans Condensed Light" w:eastAsiaTheme="majorEastAsia" w:hAnsi="Open Sans Condensed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7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471C"/>
    <w:rPr>
      <w:rFonts w:ascii="Open Sans" w:eastAsiaTheme="minorEastAsia" w:hAnsi="Open Sans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C391D"/>
    <w:pPr>
      <w:spacing w:after="0" w:line="240" w:lineRule="auto"/>
    </w:pPr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0C6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839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4F134B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79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25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2F3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25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ts.google.com/?query=open+s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B0CB-5D5A-46C4-BE21-0807CDC4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Forsee</dc:creator>
  <cp:keywords/>
  <dc:description/>
  <cp:lastModifiedBy>Giambuzzi, Bernadette (Finance)</cp:lastModifiedBy>
  <cp:revision>3</cp:revision>
  <dcterms:created xsi:type="dcterms:W3CDTF">2023-10-06T15:06:00Z</dcterms:created>
  <dcterms:modified xsi:type="dcterms:W3CDTF">2023-10-06T15:10:00Z</dcterms:modified>
</cp:coreProperties>
</file>