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A33D" w14:textId="0FF790A1" w:rsidR="00B36852" w:rsidRDefault="009C6646">
      <w:pPr>
        <w:rPr>
          <w:b/>
          <w:bCs/>
          <w:sz w:val="24"/>
          <w:szCs w:val="24"/>
        </w:rPr>
      </w:pPr>
      <w:r w:rsidRPr="009C6646">
        <w:rPr>
          <w:b/>
          <w:bCs/>
          <w:sz w:val="24"/>
          <w:szCs w:val="24"/>
        </w:rPr>
        <w:t xml:space="preserve">Idaho State Tax Commission (ISTC) </w:t>
      </w:r>
      <w:proofErr w:type="spellStart"/>
      <w:r w:rsidRPr="009C6646">
        <w:rPr>
          <w:b/>
          <w:bCs/>
          <w:sz w:val="24"/>
          <w:szCs w:val="24"/>
        </w:rPr>
        <w:t>Efile</w:t>
      </w:r>
      <w:proofErr w:type="spellEnd"/>
      <w:r w:rsidRPr="009C6646">
        <w:rPr>
          <w:b/>
          <w:bCs/>
          <w:sz w:val="24"/>
          <w:szCs w:val="24"/>
        </w:rPr>
        <w:t xml:space="preserve"> Coordination Bulletin: 10/14/22</w:t>
      </w:r>
    </w:p>
    <w:p w14:paraId="277436A0" w14:textId="4A8A8CA5" w:rsidR="009C6646" w:rsidRPr="000F5DEA" w:rsidRDefault="009C6646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>Today, ISTC is uploading our set of TY22 forms to SES.</w:t>
      </w:r>
      <w:r w:rsidR="000F5DEA">
        <w:t xml:space="preserve"> We’re waiting for the rates on our Form 49ER, and it will be uploaded as soon as it’s complete.</w:t>
      </w:r>
      <w:r>
        <w:t xml:space="preserve"> If you’re able to take this opportunity to submit forms tests</w:t>
      </w:r>
      <w:r w:rsidR="00CC580A">
        <w:t xml:space="preserve"> in the coming days, we’d appreciate it. </w:t>
      </w:r>
    </w:p>
    <w:p w14:paraId="6A958820" w14:textId="6F91E53B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Forms submissions can be made here: </w:t>
      </w:r>
      <w:hyperlink r:id="rId5" w:history="1">
        <w:r w:rsidR="006D4019">
          <w:rPr>
            <w:rStyle w:val="Hyperlink"/>
          </w:rPr>
          <w:t>here</w:t>
        </w:r>
      </w:hyperlink>
    </w:p>
    <w:p w14:paraId="76B1914F" w14:textId="6954F503" w:rsidR="00CC580A" w:rsidRPr="000F5DEA" w:rsidRDefault="00CC580A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We also have our 2D documentation uploaded, and we are ready to accept 2D test submissions. </w:t>
      </w:r>
    </w:p>
    <w:p w14:paraId="7B486800" w14:textId="65796F52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2D submissions can be made here: </w:t>
      </w:r>
      <w:hyperlink r:id="rId6" w:history="1">
        <w:r w:rsidR="006D4019">
          <w:rPr>
            <w:rStyle w:val="Hyperlink"/>
          </w:rPr>
          <w:t>here</w:t>
        </w:r>
      </w:hyperlink>
    </w:p>
    <w:p w14:paraId="3826DCD1" w14:textId="4B1402F1" w:rsidR="000F5DEA" w:rsidRPr="006D4019" w:rsidRDefault="00CC580A" w:rsidP="000F5D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As for </w:t>
      </w:r>
      <w:proofErr w:type="spellStart"/>
      <w:r>
        <w:t>MeF</w:t>
      </w:r>
      <w:proofErr w:type="spellEnd"/>
      <w:r>
        <w:t xml:space="preserve"> testing, we plan to have all needed documentation on SES by 10/21/22, and we’ll be ready to test on 10/31/22.</w:t>
      </w:r>
    </w:p>
    <w:p w14:paraId="59C1B0CA" w14:textId="510AE8AC" w:rsidR="006D4019" w:rsidRPr="0029769B" w:rsidRDefault="006D4019" w:rsidP="006D401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If you have questions, feel free to write them </w:t>
      </w:r>
      <w:hyperlink r:id="rId7" w:history="1">
        <w:r w:rsidRPr="006D4019">
          <w:rPr>
            <w:rStyle w:val="Hyperlink"/>
          </w:rPr>
          <w:t>here</w:t>
        </w:r>
      </w:hyperlink>
      <w:r>
        <w:t xml:space="preserve"> or feel free to call Bill Hofstra, ISTC </w:t>
      </w:r>
      <w:proofErr w:type="spellStart"/>
      <w:r>
        <w:t>Efile</w:t>
      </w:r>
      <w:proofErr w:type="spellEnd"/>
      <w:r>
        <w:t xml:space="preserve"> Coordinator, at 208-334-7782</w:t>
      </w:r>
    </w:p>
    <w:p w14:paraId="2A8CE554" w14:textId="30693328" w:rsidR="0029769B" w:rsidRDefault="0029769B" w:rsidP="002976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10/26/22:</w:t>
      </w:r>
    </w:p>
    <w:p w14:paraId="4EDC5B8C" w14:textId="09AABD26" w:rsidR="0029769B" w:rsidRDefault="0029769B" w:rsidP="00297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7F66">
        <w:rPr>
          <w:sz w:val="24"/>
          <w:szCs w:val="24"/>
        </w:rPr>
        <w:t xml:space="preserve">Today, we’re releasing V2 of the </w:t>
      </w:r>
      <w:proofErr w:type="spellStart"/>
      <w:r w:rsidRPr="00F97F66">
        <w:rPr>
          <w:sz w:val="24"/>
          <w:szCs w:val="24"/>
        </w:rPr>
        <w:t>MeF</w:t>
      </w:r>
      <w:proofErr w:type="spellEnd"/>
      <w:r w:rsidRPr="00F97F66">
        <w:rPr>
          <w:sz w:val="24"/>
          <w:szCs w:val="24"/>
        </w:rPr>
        <w:t xml:space="preserve"> Schema. It was noted that we needed a higher max occurrence with </w:t>
      </w:r>
      <w:proofErr w:type="spellStart"/>
      <w:r w:rsidRPr="00F97F66">
        <w:rPr>
          <w:sz w:val="24"/>
          <w:szCs w:val="24"/>
        </w:rPr>
        <w:t>NonRefundCredit</w:t>
      </w:r>
      <w:r w:rsidR="00F97F66">
        <w:rPr>
          <w:sz w:val="24"/>
          <w:szCs w:val="24"/>
        </w:rPr>
        <w:t>s</w:t>
      </w:r>
      <w:proofErr w:type="spellEnd"/>
      <w:r w:rsidRPr="00F97F66">
        <w:rPr>
          <w:sz w:val="24"/>
          <w:szCs w:val="24"/>
        </w:rPr>
        <w:t xml:space="preserve"> in the Form 44</w:t>
      </w:r>
      <w:r w:rsidR="00F97F66" w:rsidRPr="00F97F66">
        <w:rPr>
          <w:sz w:val="24"/>
          <w:szCs w:val="24"/>
        </w:rPr>
        <w:t xml:space="preserve">. Max occurrence has been increased to seven (7) to match the form requirement. </w:t>
      </w:r>
    </w:p>
    <w:p w14:paraId="38C40B59" w14:textId="77777777" w:rsidR="00A252D6" w:rsidRDefault="00847137" w:rsidP="00DB36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updated the title pages of the </w:t>
      </w:r>
      <w:proofErr w:type="spellStart"/>
      <w:r>
        <w:rPr>
          <w:sz w:val="24"/>
          <w:szCs w:val="24"/>
        </w:rPr>
        <w:t>MeF</w:t>
      </w:r>
      <w:proofErr w:type="spellEnd"/>
      <w:r>
        <w:rPr>
          <w:sz w:val="24"/>
          <w:szCs w:val="24"/>
        </w:rPr>
        <w:t xml:space="preserve"> Specs and IIT Test plan to reflect Schema V2.</w:t>
      </w:r>
    </w:p>
    <w:p w14:paraId="53F42E45" w14:textId="77777777" w:rsidR="00A252D6" w:rsidRDefault="00A252D6" w:rsidP="00A252D6">
      <w:pPr>
        <w:pStyle w:val="ListParagraph"/>
        <w:numPr>
          <w:ilvl w:val="0"/>
          <w:numId w:val="2"/>
        </w:numPr>
      </w:pPr>
      <w:r w:rsidRPr="00962DDA">
        <w:t>We have added a new Form 43 to the Forms folder today. The only change present with this new form is in the instructions, Standard Deduction formula, line 5</w:t>
      </w:r>
      <w:r>
        <w:t xml:space="preserve"> (multiplication factor values)</w:t>
      </w:r>
      <w:r w:rsidRPr="00962DDA">
        <w:t xml:space="preserve">. </w:t>
      </w:r>
    </w:p>
    <w:p w14:paraId="599FFE35" w14:textId="77777777" w:rsidR="00A252D6" w:rsidRDefault="00A252D6" w:rsidP="00A252D6">
      <w:pPr>
        <w:pStyle w:val="ListParagraph"/>
      </w:pPr>
      <w:r>
        <w:t>Old instruction:</w:t>
      </w:r>
    </w:p>
    <w:p w14:paraId="69E81BBB" w14:textId="77777777" w:rsidR="00A252D6" w:rsidRDefault="00A252D6" w:rsidP="00A252D6">
      <w:pPr>
        <w:pStyle w:val="ListParagraph"/>
      </w:pPr>
      <w:r>
        <w:rPr>
          <w:noProof/>
        </w:rPr>
        <w:drawing>
          <wp:inline distT="0" distB="0" distL="0" distR="0" wp14:anchorId="402CCDDD" wp14:editId="11E261B1">
            <wp:extent cx="2561977" cy="750791"/>
            <wp:effectExtent l="38100" t="38100" r="29210" b="304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159" cy="75436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7CC508" w14:textId="77777777" w:rsidR="00A252D6" w:rsidRDefault="00A252D6" w:rsidP="00A252D6">
      <w:pPr>
        <w:pStyle w:val="ListParagraph"/>
      </w:pPr>
      <w:r>
        <w:t>New instruction:</w:t>
      </w:r>
    </w:p>
    <w:p w14:paraId="5351C5B9" w14:textId="3746A3F5" w:rsidR="00DB36B0" w:rsidRPr="00A252D6" w:rsidRDefault="00A252D6" w:rsidP="00A252D6">
      <w:pPr>
        <w:pStyle w:val="ListParagraph"/>
      </w:pPr>
      <w:r>
        <w:rPr>
          <w:noProof/>
        </w:rPr>
        <w:drawing>
          <wp:inline distT="0" distB="0" distL="0" distR="0" wp14:anchorId="34CA84F0" wp14:editId="585AC985">
            <wp:extent cx="2657475" cy="714375"/>
            <wp:effectExtent l="38100" t="38100" r="47625" b="476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47137" w:rsidRPr="00A252D6">
        <w:rPr>
          <w:sz w:val="24"/>
          <w:szCs w:val="24"/>
        </w:rPr>
        <w:t xml:space="preserve"> </w:t>
      </w:r>
    </w:p>
    <w:p w14:paraId="25BA95EB" w14:textId="5DA10959" w:rsidR="00DB36B0" w:rsidRPr="00DB36B0" w:rsidRDefault="00DB36B0" w:rsidP="00DB36B0">
      <w:pPr>
        <w:rPr>
          <w:b/>
          <w:bCs/>
          <w:sz w:val="24"/>
          <w:szCs w:val="24"/>
        </w:rPr>
      </w:pPr>
      <w:r w:rsidRPr="00DB36B0">
        <w:rPr>
          <w:b/>
          <w:bCs/>
          <w:sz w:val="24"/>
          <w:szCs w:val="24"/>
        </w:rPr>
        <w:t>11/2/22:</w:t>
      </w:r>
    </w:p>
    <w:p w14:paraId="05F0789F" w14:textId="72CA97DF" w:rsidR="00DB36B0" w:rsidRDefault="00DB36B0" w:rsidP="00DB36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65BB">
        <w:rPr>
          <w:b/>
          <w:bCs/>
          <w:sz w:val="24"/>
          <w:szCs w:val="24"/>
        </w:rPr>
        <w:t>We’re releasing V3 of the Idaho Schema</w:t>
      </w:r>
      <w:r w:rsidR="00920705">
        <w:rPr>
          <w:sz w:val="24"/>
          <w:szCs w:val="24"/>
        </w:rPr>
        <w:t xml:space="preserve"> with the following change:</w:t>
      </w:r>
    </w:p>
    <w:p w14:paraId="6BA6EA14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IdahoForm44.xsd</w:t>
      </w:r>
    </w:p>
    <w:p w14:paraId="7D6EFAB9" w14:textId="77777777" w:rsidR="00920705" w:rsidRP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 xml:space="preserve">Changed element </w:t>
      </w:r>
      <w:proofErr w:type="spellStart"/>
      <w:r w:rsidRPr="00920705">
        <w:rPr>
          <w:rFonts w:cstheme="minorHAnsi"/>
          <w:color w:val="000000" w:themeColor="text1"/>
        </w:rPr>
        <w:t>NonrefundYear</w:t>
      </w:r>
      <w:proofErr w:type="spellEnd"/>
      <w:r w:rsidRPr="00920705">
        <w:rPr>
          <w:rFonts w:cstheme="minorHAnsi"/>
          <w:color w:val="000000" w:themeColor="text1"/>
        </w:rPr>
        <w:t xml:space="preserve"> from </w:t>
      </w:r>
      <w:proofErr w:type="spellStart"/>
      <w:r w:rsidRPr="00920705">
        <w:rPr>
          <w:rFonts w:cstheme="minorHAnsi"/>
          <w:color w:val="000000" w:themeColor="text1"/>
        </w:rPr>
        <w:t>DateType</w:t>
      </w:r>
      <w:proofErr w:type="spellEnd"/>
      <w:r w:rsidRPr="00920705">
        <w:rPr>
          <w:rFonts w:cstheme="minorHAnsi"/>
          <w:color w:val="000000" w:themeColor="text1"/>
        </w:rPr>
        <w:t xml:space="preserve"> to </w:t>
      </w:r>
      <w:proofErr w:type="spellStart"/>
      <w:r w:rsidRPr="00920705">
        <w:rPr>
          <w:rFonts w:cstheme="minorHAnsi"/>
          <w:color w:val="000000" w:themeColor="text1"/>
        </w:rPr>
        <w:t>YearType</w:t>
      </w:r>
      <w:proofErr w:type="spellEnd"/>
    </w:p>
    <w:p w14:paraId="259575FB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IdahoForm56.xsd</w:t>
      </w:r>
    </w:p>
    <w:p w14:paraId="71DBF1E0" w14:textId="77777777" w:rsidR="00920705" w:rsidRP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 xml:space="preserve">Changed element </w:t>
      </w:r>
      <w:proofErr w:type="spellStart"/>
      <w:r w:rsidRPr="00920705">
        <w:rPr>
          <w:rFonts w:cstheme="minorHAnsi"/>
          <w:color w:val="000000" w:themeColor="text1"/>
        </w:rPr>
        <w:t>NOLCalc</w:t>
      </w:r>
      <w:proofErr w:type="spellEnd"/>
      <w:r w:rsidRPr="00920705">
        <w:rPr>
          <w:rFonts w:cstheme="minorHAnsi"/>
          <w:color w:val="000000" w:themeColor="text1"/>
        </w:rPr>
        <w:t xml:space="preserve"> from </w:t>
      </w:r>
      <w:proofErr w:type="spellStart"/>
      <w:r w:rsidRPr="00920705">
        <w:rPr>
          <w:rFonts w:cstheme="minorHAnsi"/>
          <w:color w:val="000000" w:themeColor="text1"/>
        </w:rPr>
        <w:t>maxOccurs</w:t>
      </w:r>
      <w:proofErr w:type="spellEnd"/>
      <w:r w:rsidRPr="00920705">
        <w:rPr>
          <w:rFonts w:cstheme="minorHAnsi"/>
          <w:color w:val="000000" w:themeColor="text1"/>
        </w:rPr>
        <w:t xml:space="preserve"> 22 to </w:t>
      </w:r>
      <w:proofErr w:type="spellStart"/>
      <w:r w:rsidRPr="00920705">
        <w:rPr>
          <w:rFonts w:cstheme="minorHAnsi"/>
          <w:color w:val="000000" w:themeColor="text1"/>
        </w:rPr>
        <w:t>maxOccurs</w:t>
      </w:r>
      <w:proofErr w:type="spellEnd"/>
      <w:r w:rsidRPr="00920705">
        <w:rPr>
          <w:rFonts w:cstheme="minorHAnsi"/>
          <w:color w:val="000000" w:themeColor="text1"/>
        </w:rPr>
        <w:t xml:space="preserve"> 23</w:t>
      </w:r>
    </w:p>
    <w:p w14:paraId="1DDB1A75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IdahoForm56.xsd</w:t>
      </w:r>
    </w:p>
    <w:p w14:paraId="54AB0BA0" w14:textId="0821FD78" w:rsidR="009A4FBF" w:rsidRDefault="00920705" w:rsidP="009A4FBF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 xml:space="preserve">Changed element </w:t>
      </w:r>
      <w:proofErr w:type="spellStart"/>
      <w:r w:rsidRPr="00920705">
        <w:rPr>
          <w:rFonts w:cstheme="minorHAnsi"/>
          <w:color w:val="000000" w:themeColor="text1"/>
        </w:rPr>
        <w:t>NOLApplication</w:t>
      </w:r>
      <w:proofErr w:type="spellEnd"/>
      <w:r w:rsidRPr="00920705">
        <w:rPr>
          <w:rFonts w:cstheme="minorHAnsi"/>
          <w:color w:val="000000" w:themeColor="text1"/>
        </w:rPr>
        <w:t xml:space="preserve"> from </w:t>
      </w:r>
      <w:proofErr w:type="spellStart"/>
      <w:r w:rsidRPr="00920705">
        <w:rPr>
          <w:rFonts w:cstheme="minorHAnsi"/>
          <w:color w:val="000000" w:themeColor="text1"/>
        </w:rPr>
        <w:t>maxOccurs</w:t>
      </w:r>
      <w:proofErr w:type="spellEnd"/>
      <w:r w:rsidRPr="00920705">
        <w:rPr>
          <w:rFonts w:cstheme="minorHAnsi"/>
          <w:color w:val="000000" w:themeColor="text1"/>
        </w:rPr>
        <w:t xml:space="preserve"> 22 to </w:t>
      </w:r>
      <w:proofErr w:type="spellStart"/>
      <w:r w:rsidRPr="00920705">
        <w:rPr>
          <w:rFonts w:cstheme="minorHAnsi"/>
          <w:color w:val="000000" w:themeColor="text1"/>
        </w:rPr>
        <w:t>maxOccurs</w:t>
      </w:r>
      <w:proofErr w:type="spellEnd"/>
      <w:r w:rsidRPr="00920705">
        <w:rPr>
          <w:rFonts w:cstheme="minorHAnsi"/>
          <w:color w:val="000000" w:themeColor="text1"/>
        </w:rPr>
        <w:t xml:space="preserve"> 23</w:t>
      </w:r>
    </w:p>
    <w:p w14:paraId="1B0595AD" w14:textId="73E2A3A4" w:rsidR="009A4FBF" w:rsidRDefault="009A4FBF" w:rsidP="009A4FB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have updated the </w:t>
      </w:r>
      <w:proofErr w:type="spellStart"/>
      <w:r>
        <w:rPr>
          <w:rFonts w:cstheme="minorHAnsi"/>
          <w:color w:val="000000" w:themeColor="text1"/>
        </w:rPr>
        <w:t>MeF</w:t>
      </w:r>
      <w:proofErr w:type="spellEnd"/>
      <w:r>
        <w:rPr>
          <w:rFonts w:cstheme="minorHAnsi"/>
          <w:color w:val="000000" w:themeColor="text1"/>
        </w:rPr>
        <w:t xml:space="preserve"> Specs and Test Plans to reflect Schema V3 in on the cover pages. </w:t>
      </w:r>
    </w:p>
    <w:p w14:paraId="58ACC310" w14:textId="6E7D4BF6" w:rsidR="009A4FBF" w:rsidRDefault="009A4FBF" w:rsidP="009A4FB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made a change to the BIT Test Plan, Form 4</w:t>
      </w:r>
      <w:r w:rsidR="003F68F7">
        <w:rPr>
          <w:rFonts w:cstheme="minorHAnsi"/>
          <w:color w:val="000000" w:themeColor="text1"/>
        </w:rPr>
        <w:t xml:space="preserve">1S, correctly numbering the following line: </w:t>
      </w:r>
    </w:p>
    <w:p w14:paraId="55082FD2" w14:textId="36C83771" w:rsidR="003F68F7" w:rsidRPr="003F68F7" w:rsidRDefault="003F68F7" w:rsidP="003F68F7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3A03B0B5" wp14:editId="470932E6">
            <wp:extent cx="3838575" cy="336717"/>
            <wp:effectExtent l="38100" t="38100" r="28575" b="44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3864" cy="34332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E36C15" w14:textId="50247E6F" w:rsidR="00920705" w:rsidRDefault="00920705" w:rsidP="0092070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We have changed, and uploaded new versions of the following voucher forms:</w:t>
      </w:r>
    </w:p>
    <w:p w14:paraId="23133A86" w14:textId="171C9E32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41ES</w:t>
      </w:r>
    </w:p>
    <w:p w14:paraId="3FEDA5A7" w14:textId="7A495EC1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51</w:t>
      </w:r>
    </w:p>
    <w:p w14:paraId="6BC51CA7" w14:textId="26DF0845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PTE-01</w:t>
      </w:r>
    </w:p>
    <w:p w14:paraId="554CF90F" w14:textId="41382F30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ID-VP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p w14:paraId="237729E4" w14:textId="10C586FC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These new form versions include voucher height and scan line space dimensions that match our specs. </w:t>
      </w:r>
    </w:p>
    <w:p w14:paraId="04D8295F" w14:textId="38861461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Please institute these new voucher versions into your product package. </w:t>
      </w:r>
    </w:p>
    <w:p w14:paraId="0AC8AC53" w14:textId="0DEB7B52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b/>
          <w:bCs/>
          <w:color w:val="000000" w:themeColor="text1"/>
        </w:rPr>
      </w:pPr>
      <w:r w:rsidRPr="009A4FBF">
        <w:rPr>
          <w:rFonts w:cstheme="minorHAnsi"/>
          <w:b/>
          <w:bCs/>
          <w:color w:val="000000" w:themeColor="text1"/>
        </w:rPr>
        <w:t xml:space="preserve">If you have already received authorization with any of the vouchers listed above, please send </w:t>
      </w:r>
      <w:r w:rsidR="009A4FBF" w:rsidRPr="009A4FBF">
        <w:rPr>
          <w:rFonts w:cstheme="minorHAnsi"/>
          <w:b/>
          <w:bCs/>
          <w:color w:val="000000" w:themeColor="text1"/>
        </w:rPr>
        <w:t xml:space="preserve">in one (1) test submission, data-filled, and with a scanline, for us to test. </w:t>
      </w:r>
    </w:p>
    <w:p w14:paraId="26E18681" w14:textId="1623B46D" w:rsidR="009C6646" w:rsidRDefault="009A4FBF" w:rsidP="003F68F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9A4FBF">
        <w:rPr>
          <w:rFonts w:cstheme="minorHAnsi"/>
          <w:color w:val="000000" w:themeColor="text1"/>
        </w:rPr>
        <w:t>We have added Idaho Form DBDA</w:t>
      </w:r>
      <w:r>
        <w:rPr>
          <w:rFonts w:cstheme="minorHAnsi"/>
          <w:color w:val="000000" w:themeColor="text1"/>
        </w:rPr>
        <w:t xml:space="preserve"> to the forms folder</w:t>
      </w:r>
      <w:r w:rsidRPr="009A4FBF">
        <w:rPr>
          <w:rFonts w:cstheme="minorHAnsi"/>
          <w:color w:val="000000" w:themeColor="text1"/>
        </w:rPr>
        <w:t xml:space="preserve">. </w:t>
      </w:r>
    </w:p>
    <w:p w14:paraId="1859F093" w14:textId="109D5391" w:rsidR="005601DA" w:rsidRDefault="005601DA" w:rsidP="005601DA">
      <w:pPr>
        <w:rPr>
          <w:rFonts w:cstheme="minorHAnsi"/>
          <w:b/>
          <w:bCs/>
          <w:color w:val="000000" w:themeColor="text1"/>
        </w:rPr>
      </w:pPr>
      <w:r w:rsidRPr="005601DA">
        <w:rPr>
          <w:rFonts w:cstheme="minorHAnsi"/>
          <w:b/>
          <w:bCs/>
          <w:color w:val="000000" w:themeColor="text1"/>
        </w:rPr>
        <w:t xml:space="preserve">11/4/22: </w:t>
      </w:r>
    </w:p>
    <w:p w14:paraId="7CA7D35F" w14:textId="55887D0B" w:rsidR="005601DA" w:rsidRDefault="005601DA" w:rsidP="005601DA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5601DA">
        <w:rPr>
          <w:rFonts w:cstheme="minorHAnsi"/>
          <w:color w:val="000000" w:themeColor="text1"/>
        </w:rPr>
        <w:t>We’re uploading a new version of Form 65, with the only change being in the following instruction</w:t>
      </w:r>
      <w:r w:rsidR="00507565">
        <w:rPr>
          <w:rFonts w:cstheme="minorHAnsi"/>
          <w:color w:val="000000" w:themeColor="text1"/>
        </w:rPr>
        <w:t xml:space="preserve"> for Line 43</w:t>
      </w:r>
      <w:r w:rsidRPr="005601DA">
        <w:rPr>
          <w:rFonts w:cstheme="minorHAnsi"/>
          <w:color w:val="000000" w:themeColor="text1"/>
        </w:rPr>
        <w:t xml:space="preserve">: </w:t>
      </w:r>
    </w:p>
    <w:p w14:paraId="141B1DAB" w14:textId="3FAEDD29" w:rsidR="005601DA" w:rsidRDefault="005601DA" w:rsidP="005601D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Old:</w:t>
      </w:r>
    </w:p>
    <w:p w14:paraId="32673E85" w14:textId="177A964E" w:rsidR="005601DA" w:rsidRDefault="005601DA" w:rsidP="005601DA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219D71C3" wp14:editId="6FA491CF">
            <wp:extent cx="2465373" cy="1819275"/>
            <wp:effectExtent l="38100" t="38100" r="30480" b="2857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8462" cy="182155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E4FB96" w14:textId="65E49AE4" w:rsidR="005601DA" w:rsidRDefault="005601DA" w:rsidP="005601D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New: </w:t>
      </w:r>
    </w:p>
    <w:p w14:paraId="0E171863" w14:textId="7031EA85" w:rsidR="005601DA" w:rsidRDefault="005601DA" w:rsidP="005601DA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45B1F23" wp14:editId="6B332088">
            <wp:extent cx="2362200" cy="1835378"/>
            <wp:effectExtent l="38100" t="38100" r="38100" b="317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7603" cy="184734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FED877" w14:textId="3049238A" w:rsidR="00507565" w:rsidRDefault="00507565" w:rsidP="0050756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We’re uploading a new version of Form 44, with the only changes being in Section III: </w:t>
      </w:r>
    </w:p>
    <w:p w14:paraId="00E53190" w14:textId="76CF4419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Old:</w:t>
      </w:r>
    </w:p>
    <w:p w14:paraId="0874594A" w14:textId="73A9DBBD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07CDFD67" wp14:editId="54F5C596">
            <wp:extent cx="3848100" cy="497676"/>
            <wp:effectExtent l="38100" t="38100" r="38100" b="36195"/>
            <wp:docPr id="6" name="Picture 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imel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9678" cy="50046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5FE71B" w14:textId="54DDDE96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New: </w:t>
      </w:r>
    </w:p>
    <w:p w14:paraId="5EB10040" w14:textId="6AAF6550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E69019B" wp14:editId="0BA8ED97">
            <wp:extent cx="3857625" cy="709542"/>
            <wp:effectExtent l="38100" t="38100" r="28575" b="3365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3312" cy="71426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CE9563" w14:textId="502B7695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And with the instructions for Section III:</w:t>
      </w:r>
    </w:p>
    <w:p w14:paraId="2E70FF75" w14:textId="1BE559BF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Old: </w:t>
      </w:r>
    </w:p>
    <w:p w14:paraId="48B0C276" w14:textId="52E42D60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1B17105C" wp14:editId="02B6B76B">
            <wp:extent cx="3711451" cy="2676525"/>
            <wp:effectExtent l="38100" t="38100" r="41910" b="2857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8900" cy="2689109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AD9B69" w14:textId="12A762DC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New: </w:t>
      </w:r>
    </w:p>
    <w:p w14:paraId="3A884493" w14:textId="66456BA8" w:rsidR="00507565" w:rsidRDefault="00552CC6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6C16325D" wp14:editId="54C35FF7">
            <wp:extent cx="3790950" cy="3222714"/>
            <wp:effectExtent l="38100" t="38100" r="38100" b="3492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9734" cy="323018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3FFF93" w14:textId="700F3C4C" w:rsidR="00552CC6" w:rsidRDefault="00552CC6" w:rsidP="00552CC6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Lastly, we uploaded the Form 402. </w:t>
      </w:r>
    </w:p>
    <w:p w14:paraId="1389124B" w14:textId="6ADEA3A6" w:rsidR="000F5488" w:rsidRDefault="000F5488" w:rsidP="000F5488">
      <w:pPr>
        <w:rPr>
          <w:rFonts w:cstheme="minorHAnsi"/>
          <w:color w:val="000000" w:themeColor="text1"/>
        </w:rPr>
      </w:pPr>
    </w:p>
    <w:p w14:paraId="045031CD" w14:textId="5EEE7C36" w:rsidR="000F5488" w:rsidRDefault="000F5488" w:rsidP="000F5488">
      <w:pPr>
        <w:rPr>
          <w:rFonts w:cstheme="minorHAnsi"/>
          <w:b/>
          <w:bCs/>
          <w:color w:val="000000" w:themeColor="text1"/>
        </w:rPr>
      </w:pPr>
      <w:r w:rsidRPr="000F5488">
        <w:rPr>
          <w:rFonts w:cstheme="minorHAnsi"/>
          <w:b/>
          <w:bCs/>
          <w:color w:val="000000" w:themeColor="text1"/>
        </w:rPr>
        <w:lastRenderedPageBreak/>
        <w:t>11/</w:t>
      </w:r>
      <w:r w:rsidR="00D4289C">
        <w:rPr>
          <w:rFonts w:cstheme="minorHAnsi"/>
          <w:b/>
          <w:bCs/>
          <w:color w:val="000000" w:themeColor="text1"/>
        </w:rPr>
        <w:t>10</w:t>
      </w:r>
      <w:r w:rsidRPr="000F5488">
        <w:rPr>
          <w:rFonts w:cstheme="minorHAnsi"/>
          <w:b/>
          <w:bCs/>
          <w:color w:val="000000" w:themeColor="text1"/>
        </w:rPr>
        <w:t>/22:</w:t>
      </w:r>
    </w:p>
    <w:p w14:paraId="7E200732" w14:textId="644B335B" w:rsidR="004A5132" w:rsidRDefault="004A5132" w:rsidP="004A5132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The Idaho </w:t>
      </w:r>
      <w:proofErr w:type="spellStart"/>
      <w:r>
        <w:rPr>
          <w:rFonts w:cstheme="minorHAnsi"/>
          <w:b/>
          <w:bCs/>
          <w:color w:val="000000" w:themeColor="text1"/>
        </w:rPr>
        <w:t>MeF</w:t>
      </w:r>
      <w:proofErr w:type="spellEnd"/>
      <w:r>
        <w:rPr>
          <w:rFonts w:cstheme="minorHAnsi"/>
          <w:b/>
          <w:bCs/>
          <w:color w:val="000000" w:themeColor="text1"/>
        </w:rPr>
        <w:t xml:space="preserve"> Specs document was revised and uploa</w:t>
      </w:r>
      <w:r w:rsidR="00E91154">
        <w:rPr>
          <w:rFonts w:cstheme="minorHAnsi"/>
          <w:b/>
          <w:bCs/>
          <w:color w:val="000000" w:themeColor="text1"/>
        </w:rPr>
        <w:t>d</w:t>
      </w:r>
      <w:r>
        <w:rPr>
          <w:rFonts w:cstheme="minorHAnsi"/>
          <w:b/>
          <w:bCs/>
          <w:color w:val="000000" w:themeColor="text1"/>
        </w:rPr>
        <w:t>ed today. This included, and was limited to the following change:</w:t>
      </w:r>
    </w:p>
    <w:p w14:paraId="76E6BE6B" w14:textId="4C92F19C" w:rsidR="004A5132" w:rsidRPr="004A5132" w:rsidRDefault="001411DA" w:rsidP="004A5132">
      <w:pPr>
        <w:pStyle w:val="ListParagraph"/>
        <w:numPr>
          <w:ilvl w:val="1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Reject Codes 1330, 1340, 1360, and 1370 were removed due to incompatibility with data capture. </w:t>
      </w:r>
    </w:p>
    <w:p w14:paraId="7A38F5DC" w14:textId="10A5FCE0" w:rsidR="000F5488" w:rsidRPr="004A5132" w:rsidRDefault="000F5488" w:rsidP="004A5132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 w:rsidRPr="004A5132">
        <w:rPr>
          <w:rFonts w:cstheme="minorHAnsi"/>
          <w:b/>
          <w:bCs/>
          <w:color w:val="000000" w:themeColor="text1"/>
        </w:rPr>
        <w:t xml:space="preserve">We replaced the three following forms in SES today after they underwent listed instruction change:  </w:t>
      </w:r>
    </w:p>
    <w:p w14:paraId="6FCD6034" w14:textId="77777777" w:rsidR="000F5488" w:rsidRDefault="000F5488" w:rsidP="000F5488">
      <w:r>
        <w:t>41S (Instruction change for Total Tax where exempt entity members apply):</w:t>
      </w:r>
    </w:p>
    <w:p w14:paraId="34F0997C" w14:textId="77777777" w:rsidR="000F5488" w:rsidRDefault="000F5488" w:rsidP="000F5488">
      <w:r>
        <w:t>Old:</w:t>
      </w:r>
    </w:p>
    <w:p w14:paraId="0D3D07C9" w14:textId="74F2823A" w:rsidR="000F5488" w:rsidRDefault="000F5488" w:rsidP="000F5488">
      <w:r>
        <w:rPr>
          <w:noProof/>
        </w:rPr>
        <w:drawing>
          <wp:inline distT="0" distB="0" distL="0" distR="0" wp14:anchorId="2A6B2414" wp14:editId="5340B87D">
            <wp:extent cx="2857500" cy="1209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6669" w14:textId="77777777" w:rsidR="000F5488" w:rsidRDefault="000F5488" w:rsidP="000F5488">
      <w:r>
        <w:t>New:</w:t>
      </w:r>
    </w:p>
    <w:p w14:paraId="0245B36C" w14:textId="6DF52E81" w:rsidR="000F5488" w:rsidRDefault="000F5488" w:rsidP="000F5488">
      <w:r>
        <w:rPr>
          <w:noProof/>
        </w:rPr>
        <w:drawing>
          <wp:inline distT="0" distB="0" distL="0" distR="0" wp14:anchorId="6B53E2E9" wp14:editId="4BE010E6">
            <wp:extent cx="2867025" cy="1047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F1A7" w14:textId="77777777" w:rsidR="000F5488" w:rsidRDefault="000F5488" w:rsidP="000F5488"/>
    <w:p w14:paraId="0A436F16" w14:textId="77777777" w:rsidR="000F5488" w:rsidRDefault="000F5488" w:rsidP="000F5488">
      <w:r>
        <w:t xml:space="preserve">65 (Instruction change for Total Tax where exempt entity members apply): </w:t>
      </w:r>
    </w:p>
    <w:p w14:paraId="58095A2F" w14:textId="77777777" w:rsidR="000F5488" w:rsidRDefault="000F5488" w:rsidP="000F5488">
      <w:r>
        <w:t xml:space="preserve">Old: </w:t>
      </w:r>
    </w:p>
    <w:p w14:paraId="79D5A9F1" w14:textId="1C81A3DA" w:rsidR="000F5488" w:rsidRDefault="000F5488" w:rsidP="000F5488">
      <w:r>
        <w:rPr>
          <w:noProof/>
        </w:rPr>
        <w:drawing>
          <wp:inline distT="0" distB="0" distL="0" distR="0" wp14:anchorId="0C350812" wp14:editId="46ED667D">
            <wp:extent cx="2724150" cy="1228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7FD5" w14:textId="77777777" w:rsidR="000F5488" w:rsidRDefault="000F5488" w:rsidP="000F5488">
      <w:r>
        <w:t>New:</w:t>
      </w:r>
    </w:p>
    <w:p w14:paraId="4365DCD4" w14:textId="321437C5" w:rsidR="000F5488" w:rsidRDefault="000F5488" w:rsidP="000F5488">
      <w:r>
        <w:rPr>
          <w:noProof/>
        </w:rPr>
        <w:drawing>
          <wp:inline distT="0" distB="0" distL="0" distR="0" wp14:anchorId="69836517" wp14:editId="0EDC3CC6">
            <wp:extent cx="2686050" cy="1114425"/>
            <wp:effectExtent l="0" t="0" r="0" b="952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91AD" w14:textId="77777777" w:rsidR="000F5488" w:rsidRDefault="000F5488" w:rsidP="000F5488"/>
    <w:p w14:paraId="5D425976" w14:textId="77777777" w:rsidR="000F5488" w:rsidRDefault="000F5488" w:rsidP="000F5488">
      <w:r>
        <w:lastRenderedPageBreak/>
        <w:t>K-1 (Removal of unneeded instruction segment):</w:t>
      </w:r>
    </w:p>
    <w:p w14:paraId="556EE5DF" w14:textId="77777777" w:rsidR="000F5488" w:rsidRDefault="000F5488" w:rsidP="000F5488">
      <w:r>
        <w:t>Old:</w:t>
      </w:r>
    </w:p>
    <w:p w14:paraId="1A758C55" w14:textId="5E3F87F2" w:rsidR="000F5488" w:rsidRDefault="000F5488" w:rsidP="000F5488">
      <w:r>
        <w:rPr>
          <w:noProof/>
        </w:rPr>
        <w:drawing>
          <wp:inline distT="0" distB="0" distL="0" distR="0" wp14:anchorId="70CA194A" wp14:editId="3A25FBF4">
            <wp:extent cx="3000375" cy="1009650"/>
            <wp:effectExtent l="0" t="0" r="9525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5712" w14:textId="77777777" w:rsidR="000F5488" w:rsidRDefault="000F5488" w:rsidP="000F5488">
      <w:r>
        <w:t xml:space="preserve">New: </w:t>
      </w:r>
    </w:p>
    <w:p w14:paraId="3E3A1E3D" w14:textId="1F409781" w:rsidR="000F5488" w:rsidRDefault="000F5488" w:rsidP="000F5488">
      <w:r>
        <w:rPr>
          <w:noProof/>
        </w:rPr>
        <w:drawing>
          <wp:inline distT="0" distB="0" distL="0" distR="0" wp14:anchorId="14392857" wp14:editId="5C72A1E9">
            <wp:extent cx="3000375" cy="838200"/>
            <wp:effectExtent l="0" t="0" r="9525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FFAA" w14:textId="1D5CE165" w:rsidR="005A382A" w:rsidRDefault="005A382A" w:rsidP="000F5488"/>
    <w:p w14:paraId="0F3FA1DB" w14:textId="01EDDBC1" w:rsidR="005A382A" w:rsidRDefault="005A382A" w:rsidP="000F5488">
      <w:pPr>
        <w:rPr>
          <w:b/>
          <w:bCs/>
        </w:rPr>
      </w:pPr>
      <w:r w:rsidRPr="005A382A">
        <w:rPr>
          <w:b/>
          <w:bCs/>
        </w:rPr>
        <w:t xml:space="preserve">11/21/22: </w:t>
      </w:r>
    </w:p>
    <w:p w14:paraId="1D142FCA" w14:textId="4408DD01" w:rsidR="005A382A" w:rsidRPr="005A382A" w:rsidRDefault="005A382A" w:rsidP="000F5488">
      <w:r w:rsidRPr="005A382A">
        <w:t xml:space="preserve">Idaho Form 49ER was uploaded to SES today. </w:t>
      </w:r>
    </w:p>
    <w:p w14:paraId="63A6CA07" w14:textId="77777777" w:rsidR="004A5132" w:rsidRDefault="004A5132" w:rsidP="000F5488"/>
    <w:p w14:paraId="12FC31D2" w14:textId="77777777" w:rsidR="000F5488" w:rsidRPr="000F5488" w:rsidRDefault="000F5488" w:rsidP="000F5488">
      <w:pPr>
        <w:rPr>
          <w:rFonts w:cstheme="minorHAnsi"/>
          <w:b/>
          <w:bCs/>
          <w:color w:val="000000" w:themeColor="text1"/>
        </w:rPr>
      </w:pPr>
    </w:p>
    <w:sectPr w:rsidR="000F5488" w:rsidRPr="000F5488" w:rsidSect="00552CC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1CEF"/>
    <w:multiLevelType w:val="hybridMultilevel"/>
    <w:tmpl w:val="6086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7086"/>
    <w:multiLevelType w:val="hybridMultilevel"/>
    <w:tmpl w:val="286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77C"/>
    <w:multiLevelType w:val="hybridMultilevel"/>
    <w:tmpl w:val="37E0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469FC"/>
    <w:multiLevelType w:val="hybridMultilevel"/>
    <w:tmpl w:val="6D66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6563">
    <w:abstractNumId w:val="1"/>
  </w:num>
  <w:num w:numId="2" w16cid:durableId="1914002935">
    <w:abstractNumId w:val="0"/>
  </w:num>
  <w:num w:numId="3" w16cid:durableId="824588795">
    <w:abstractNumId w:val="3"/>
  </w:num>
  <w:num w:numId="4" w16cid:durableId="71685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46"/>
    <w:rsid w:val="000165BB"/>
    <w:rsid w:val="000D0BE8"/>
    <w:rsid w:val="000F5488"/>
    <w:rsid w:val="000F5DEA"/>
    <w:rsid w:val="001411DA"/>
    <w:rsid w:val="0029769B"/>
    <w:rsid w:val="00341339"/>
    <w:rsid w:val="003F68F7"/>
    <w:rsid w:val="00431541"/>
    <w:rsid w:val="004A5132"/>
    <w:rsid w:val="00507565"/>
    <w:rsid w:val="00552CC6"/>
    <w:rsid w:val="005601DA"/>
    <w:rsid w:val="005A382A"/>
    <w:rsid w:val="006D4019"/>
    <w:rsid w:val="00847137"/>
    <w:rsid w:val="00920705"/>
    <w:rsid w:val="009A4FBF"/>
    <w:rsid w:val="009C6646"/>
    <w:rsid w:val="00A252D6"/>
    <w:rsid w:val="00AB77E6"/>
    <w:rsid w:val="00B36852"/>
    <w:rsid w:val="00C64C78"/>
    <w:rsid w:val="00CC580A"/>
    <w:rsid w:val="00D4289C"/>
    <w:rsid w:val="00D65542"/>
    <w:rsid w:val="00DB36B0"/>
    <w:rsid w:val="00E91154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C5E2"/>
  <w15:chartTrackingRefBased/>
  <w15:docId w15:val="{263D4332-E0E9-4CB3-92EB-EBF52E9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cid:image005.jpg@01D8F37E.139D89B0" TargetMode="External"/><Relationship Id="rId26" Type="http://schemas.openxmlformats.org/officeDocument/2006/relationships/image" Target="cid:image020.jpg@01D8F37E.139D89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efilecoordinator@tax.idaho.g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cid:image007.jpg@01D8F37E.139D89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ustituteforms@tax.idaho.gov" TargetMode="External"/><Relationship Id="rId11" Type="http://schemas.openxmlformats.org/officeDocument/2006/relationships/image" Target="media/image4.png"/><Relationship Id="rId24" Type="http://schemas.openxmlformats.org/officeDocument/2006/relationships/image" Target="cid:image015.jpg@01D8F37E.139D89B0" TargetMode="External"/><Relationship Id="rId5" Type="http://schemas.openxmlformats.org/officeDocument/2006/relationships/hyperlink" Target="mailto:sustituteforms@tax.idaho.gov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cid:image021.jpg@01D8F37E.139D89B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cid:image014.jpg@01D8F37E.139D89B0" TargetMode="External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17</cp:revision>
  <dcterms:created xsi:type="dcterms:W3CDTF">2022-10-26T19:24:00Z</dcterms:created>
  <dcterms:modified xsi:type="dcterms:W3CDTF">2022-11-21T18:51:00Z</dcterms:modified>
</cp:coreProperties>
</file>