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DD5" w:rsidRDefault="00FC5DD5" w:rsidP="00FC5DD5">
      <w:r>
        <w:t>Montana ATS Developer Update</w:t>
      </w:r>
      <w:r>
        <w:tab/>
      </w:r>
      <w:r>
        <w:tab/>
      </w:r>
      <w:r>
        <w:tab/>
      </w:r>
      <w:r>
        <w:tab/>
      </w:r>
      <w:r>
        <w:tab/>
      </w:r>
      <w:r>
        <w:tab/>
      </w:r>
      <w:r>
        <w:tab/>
      </w:r>
      <w:r>
        <w:tab/>
      </w:r>
      <w:r>
        <w:tab/>
      </w:r>
      <w:r>
        <w:tab/>
      </w:r>
      <w:r>
        <w:tab/>
      </w:r>
      <w:r>
        <w:tab/>
        <w:t>December 28, 2018</w:t>
      </w:r>
    </w:p>
    <w:p w:rsidR="00FC5DD5" w:rsidRDefault="00FC5DD5" w:rsidP="00FC5DD5"/>
    <w:p w:rsidR="00FC5DD5" w:rsidRDefault="00FC5DD5" w:rsidP="00FC5DD5">
      <w:r>
        <w:t xml:space="preserve">Many changes were performed this year for the Montana returns.  We encourage you to thoroughly review the requirements documentation, and allow extra time for development and testing of the return.  </w:t>
      </w:r>
    </w:p>
    <w:p w:rsidR="006E77BB" w:rsidRDefault="006E77BB"/>
    <w:p w:rsidR="00FC5DD5" w:rsidRDefault="00FC5DD5" w:rsidP="00FC5DD5">
      <w:r>
        <w:t xml:space="preserve">For the first time, Montana has activated business rule automation. Please make sure your testing submissions can pass all business rule automation before submitting for testing. Software limitations should be documented with your test submission. If your software is still encountering reject codes because of limitations, reach out to </w:t>
      </w:r>
      <w:hyperlink r:id="rId4" w:history="1">
        <w:r w:rsidRPr="00A20396">
          <w:rPr>
            <w:rStyle w:val="Hyperlink"/>
          </w:rPr>
          <w:t>dore-services@mt.gov</w:t>
        </w:r>
      </w:hyperlink>
      <w:r>
        <w:t xml:space="preserve"> and we’ll help you work through the reject codes before your tests are submitted.</w:t>
      </w:r>
    </w:p>
    <w:p w:rsidR="00FC5DD5" w:rsidRDefault="00FC5DD5"/>
    <w:p w:rsidR="00FC5DD5" w:rsidRDefault="00FC5DD5" w:rsidP="00FC5DD5">
      <w:pPr>
        <w:rPr>
          <w:rFonts w:eastAsia="Times New Roman"/>
        </w:rPr>
      </w:pPr>
      <w:r>
        <w:t xml:space="preserve">We are seeing some common problems developing the Montana Corporate return.  Please note the </w:t>
      </w:r>
      <w:r>
        <w:rPr>
          <w:rFonts w:eastAsia="Times New Roman"/>
        </w:rPr>
        <w:t xml:space="preserve">reject code criteria for IRS schedule D and Form 5471. </w:t>
      </w:r>
    </w:p>
    <w:p w:rsidR="00FC5DD5" w:rsidRDefault="00FC5DD5" w:rsidP="00FC5DD5"/>
    <w:p w:rsidR="00FC5DD5" w:rsidRDefault="00FC5DD5" w:rsidP="00FC5DD5">
      <w:pPr>
        <w:rPr>
          <w:b/>
          <w:bCs/>
          <w:u w:val="single"/>
        </w:rPr>
      </w:pPr>
      <w:r>
        <w:rPr>
          <w:b/>
          <w:bCs/>
          <w:u w:val="single"/>
        </w:rPr>
        <w:t>The criteria for this reject code (CIT-E260). Schedule D is required.</w:t>
      </w:r>
    </w:p>
    <w:p w:rsidR="00FC5DD5" w:rsidRDefault="00FC5DD5" w:rsidP="00FC5DD5">
      <w:r>
        <w:t>Reject conditions and element tags</w:t>
      </w:r>
    </w:p>
    <w:p w:rsidR="008B43EC" w:rsidRDefault="00FC5DD5" w:rsidP="00FC5DD5">
      <w:pPr>
        <w:rPr>
          <w:color w:val="FF0000"/>
        </w:rPr>
      </w:pPr>
      <w:r>
        <w:rPr>
          <w:color w:val="FF0000"/>
        </w:rPr>
        <w:t xml:space="preserve">1)If line 2h on CIT is greater than </w:t>
      </w:r>
      <w:proofErr w:type="gramStart"/>
      <w:r>
        <w:rPr>
          <w:color w:val="FF0000"/>
        </w:rPr>
        <w:t>zero</w:t>
      </w:r>
      <w:r>
        <w:rPr>
          <w:b/>
          <w:bCs/>
        </w:rPr>
        <w:t>(</w:t>
      </w:r>
      <w:proofErr w:type="gramEnd"/>
      <w:r>
        <w:rPr>
          <w:b/>
          <w:bCs/>
        </w:rPr>
        <w:t>MT Form)</w:t>
      </w:r>
      <w:r>
        <w:t xml:space="preserve"> </w:t>
      </w:r>
      <w:r>
        <w:rPr>
          <w:color w:val="FF0000"/>
        </w:rPr>
        <w:t>and line 6, Federal Schedule D 1120 is zero</w:t>
      </w:r>
      <w:r>
        <w:t>. The xml element for this on the IRS Schedule D is</w:t>
      </w:r>
      <w:r>
        <w:rPr>
          <w:color w:val="FF0000"/>
        </w:rPr>
        <w:t xml:space="preserve"> </w:t>
      </w:r>
    </w:p>
    <w:p w:rsidR="00FC5DD5" w:rsidRDefault="00FC5DD5" w:rsidP="00FC5DD5">
      <w:pPr>
        <w:rPr>
          <w:b/>
          <w:bCs/>
        </w:rPr>
      </w:pPr>
      <w:proofErr w:type="spellStart"/>
      <w:r>
        <w:rPr>
          <w:b/>
          <w:bCs/>
        </w:rPr>
        <w:t>UnusedCapitalLossCarryover</w:t>
      </w:r>
      <w:proofErr w:type="spellEnd"/>
    </w:p>
    <w:p w:rsidR="008B43EC" w:rsidRDefault="008B43EC" w:rsidP="00FC5DD5">
      <w:pPr>
        <w:rPr>
          <w:b/>
          <w:bCs/>
        </w:rPr>
      </w:pPr>
    </w:p>
    <w:p w:rsidR="008B43EC" w:rsidRDefault="00FC5DD5" w:rsidP="00FC5DD5">
      <w:r>
        <w:rPr>
          <w:b/>
          <w:bCs/>
          <w:color w:val="FF0000"/>
        </w:rPr>
        <w:t xml:space="preserve">2) </w:t>
      </w:r>
      <w:r>
        <w:rPr>
          <w:color w:val="FF0000"/>
        </w:rPr>
        <w:t>If 3f on CIT is greater than zero</w:t>
      </w:r>
      <w:r>
        <w:rPr>
          <w:b/>
          <w:bCs/>
        </w:rPr>
        <w:t xml:space="preserve"> (MT Form</w:t>
      </w:r>
      <w:r>
        <w:t xml:space="preserve">) </w:t>
      </w:r>
      <w:r>
        <w:rPr>
          <w:color w:val="FF0000"/>
        </w:rPr>
        <w:t xml:space="preserve">and lines 7 and 15, Schedule D 1120 equal zero. </w:t>
      </w:r>
      <w:r>
        <w:t xml:space="preserve">The xml elements for these on the IRS schedule D are </w:t>
      </w:r>
    </w:p>
    <w:p w:rsidR="00FC5DD5" w:rsidRDefault="00FC5DD5" w:rsidP="00FC5DD5">
      <w:proofErr w:type="spellStart"/>
      <w:r>
        <w:rPr>
          <w:b/>
          <w:bCs/>
        </w:rPr>
        <w:t>NetSTCapitalGainorLossAmt</w:t>
      </w:r>
      <w:proofErr w:type="spellEnd"/>
      <w:r>
        <w:t xml:space="preserve">(line7) and </w:t>
      </w:r>
      <w:proofErr w:type="spellStart"/>
      <w:r>
        <w:rPr>
          <w:b/>
          <w:bCs/>
        </w:rPr>
        <w:t>NetLTCapitalGainOrLossAmt</w:t>
      </w:r>
      <w:proofErr w:type="spellEnd"/>
      <w:r>
        <w:rPr>
          <w:color w:val="FF0000"/>
        </w:rPr>
        <w:t xml:space="preserve"> </w:t>
      </w:r>
      <w:r>
        <w:t>(line 15)</w:t>
      </w:r>
    </w:p>
    <w:p w:rsidR="00FC5DD5" w:rsidRDefault="00FC5DD5" w:rsidP="00FC5DD5"/>
    <w:p w:rsidR="00FC5DD5" w:rsidRDefault="00FC5DD5" w:rsidP="00FC5DD5"/>
    <w:p w:rsidR="00FC5DD5" w:rsidRDefault="00FC5DD5" w:rsidP="00FC5DD5">
      <w:pPr>
        <w:rPr>
          <w:b/>
          <w:bCs/>
          <w:u w:val="single"/>
        </w:rPr>
      </w:pPr>
      <w:r>
        <w:rPr>
          <w:b/>
          <w:bCs/>
          <w:u w:val="single"/>
        </w:rPr>
        <w:t>Criteria for reject code(CIT-230)-Schedule 5471 is required</w:t>
      </w:r>
    </w:p>
    <w:p w:rsidR="00FC5DD5" w:rsidRDefault="00FC5DD5" w:rsidP="00FC5DD5">
      <w:pPr>
        <w:rPr>
          <w:color w:val="FF0000"/>
        </w:rPr>
      </w:pPr>
    </w:p>
    <w:p w:rsidR="00FC5DD5" w:rsidRDefault="00FC5DD5" w:rsidP="00FC5DD5">
      <w:r>
        <w:t xml:space="preserve">The reject criteria conditions are: </w:t>
      </w:r>
    </w:p>
    <w:tbl>
      <w:tblPr>
        <w:tblW w:w="5000" w:type="pct"/>
        <w:tblCellMar>
          <w:left w:w="0" w:type="dxa"/>
          <w:right w:w="0" w:type="dxa"/>
        </w:tblCellMar>
        <w:tblLook w:val="04A0" w:firstRow="1" w:lastRow="0" w:firstColumn="1" w:lastColumn="0" w:noHBand="0" w:noVBand="1"/>
      </w:tblPr>
      <w:tblGrid>
        <w:gridCol w:w="2542"/>
        <w:gridCol w:w="4464"/>
        <w:gridCol w:w="4832"/>
        <w:gridCol w:w="2542"/>
      </w:tblGrid>
      <w:tr w:rsidR="00FC5DD5" w:rsidTr="00FC5DD5">
        <w:trPr>
          <w:trHeight w:val="300"/>
        </w:trPr>
        <w:tc>
          <w:tcPr>
            <w:tcW w:w="884" w:type="pct"/>
            <w:tcBorders>
              <w:top w:val="single" w:sz="8" w:space="0" w:color="D3D3D3"/>
              <w:left w:val="single" w:sz="8" w:space="0" w:color="D3D3D3"/>
              <w:bottom w:val="single" w:sz="8" w:space="0" w:color="D3D3D3"/>
              <w:right w:val="single" w:sz="8" w:space="0" w:color="D3D3D3"/>
            </w:tcBorders>
            <w:shd w:val="clear" w:color="auto" w:fill="C0C0C0"/>
            <w:noWrap/>
            <w:tcMar>
              <w:top w:w="0" w:type="dxa"/>
              <w:left w:w="108" w:type="dxa"/>
              <w:bottom w:w="0" w:type="dxa"/>
              <w:right w:w="108" w:type="dxa"/>
            </w:tcMar>
            <w:vAlign w:val="bottom"/>
            <w:hideMark/>
          </w:tcPr>
          <w:p w:rsidR="00FC5DD5" w:rsidRDefault="008B43EC">
            <w:pPr>
              <w:rPr>
                <w:rFonts w:ascii="Arial" w:hAnsi="Arial" w:cs="Arial"/>
                <w:sz w:val="17"/>
                <w:szCs w:val="17"/>
              </w:rPr>
            </w:pPr>
            <w:r>
              <w:rPr>
                <w:rFonts w:ascii="Arial" w:hAnsi="Arial" w:cs="Arial"/>
                <w:sz w:val="17"/>
                <w:szCs w:val="17"/>
              </w:rPr>
              <w:t xml:space="preserve">Element </w:t>
            </w:r>
            <w:r w:rsidR="00FC5DD5">
              <w:rPr>
                <w:rFonts w:ascii="Arial" w:hAnsi="Arial" w:cs="Arial"/>
                <w:sz w:val="17"/>
                <w:szCs w:val="17"/>
              </w:rPr>
              <w:t>Field</w:t>
            </w:r>
          </w:p>
        </w:tc>
        <w:tc>
          <w:tcPr>
            <w:tcW w:w="1552" w:type="pct"/>
            <w:tcBorders>
              <w:top w:val="single" w:sz="8" w:space="0" w:color="D3D3D3"/>
              <w:left w:val="nil"/>
              <w:bottom w:val="single" w:sz="8" w:space="0" w:color="D3D3D3"/>
              <w:right w:val="single" w:sz="8" w:space="0" w:color="D3D3D3"/>
            </w:tcBorders>
            <w:shd w:val="clear" w:color="auto" w:fill="C0C0C0"/>
            <w:noWrap/>
            <w:tcMar>
              <w:top w:w="0" w:type="dxa"/>
              <w:left w:w="108" w:type="dxa"/>
              <w:bottom w:w="0" w:type="dxa"/>
              <w:right w:w="108" w:type="dxa"/>
            </w:tcMar>
            <w:vAlign w:val="bottom"/>
            <w:hideMark/>
          </w:tcPr>
          <w:p w:rsidR="00FC5DD5" w:rsidRDefault="00FC5DD5">
            <w:pPr>
              <w:rPr>
                <w:rFonts w:ascii="Arial" w:hAnsi="Arial" w:cs="Arial"/>
                <w:sz w:val="17"/>
                <w:szCs w:val="17"/>
              </w:rPr>
            </w:pPr>
            <w:r>
              <w:rPr>
                <w:rFonts w:ascii="Arial" w:hAnsi="Arial" w:cs="Arial"/>
                <w:sz w:val="17"/>
                <w:szCs w:val="17"/>
              </w:rPr>
              <w:t>Criteria1</w:t>
            </w:r>
          </w:p>
        </w:tc>
        <w:tc>
          <w:tcPr>
            <w:tcW w:w="1680" w:type="pct"/>
            <w:tcBorders>
              <w:top w:val="single" w:sz="8" w:space="0" w:color="D3D3D3"/>
              <w:left w:val="nil"/>
              <w:bottom w:val="single" w:sz="8" w:space="0" w:color="D3D3D3"/>
              <w:right w:val="single" w:sz="8" w:space="0" w:color="D3D3D3"/>
            </w:tcBorders>
            <w:shd w:val="clear" w:color="auto" w:fill="C0C0C0"/>
            <w:noWrap/>
            <w:tcMar>
              <w:top w:w="0" w:type="dxa"/>
              <w:left w:w="108" w:type="dxa"/>
              <w:bottom w:w="0" w:type="dxa"/>
              <w:right w:w="108" w:type="dxa"/>
            </w:tcMar>
            <w:vAlign w:val="bottom"/>
            <w:hideMark/>
          </w:tcPr>
          <w:p w:rsidR="00FC5DD5" w:rsidRDefault="00FC5DD5">
            <w:pPr>
              <w:rPr>
                <w:rFonts w:ascii="Arial" w:hAnsi="Arial" w:cs="Arial"/>
                <w:sz w:val="17"/>
                <w:szCs w:val="17"/>
              </w:rPr>
            </w:pPr>
            <w:r>
              <w:rPr>
                <w:rFonts w:ascii="Arial" w:hAnsi="Arial" w:cs="Arial"/>
                <w:sz w:val="17"/>
                <w:szCs w:val="17"/>
              </w:rPr>
              <w:t>Criteria2</w:t>
            </w:r>
          </w:p>
        </w:tc>
        <w:tc>
          <w:tcPr>
            <w:tcW w:w="884" w:type="pct"/>
            <w:tcBorders>
              <w:top w:val="single" w:sz="8" w:space="0" w:color="D3D3D3"/>
              <w:left w:val="nil"/>
              <w:bottom w:val="single" w:sz="8" w:space="0" w:color="D3D3D3"/>
              <w:right w:val="single" w:sz="8" w:space="0" w:color="D3D3D3"/>
            </w:tcBorders>
            <w:shd w:val="clear" w:color="auto" w:fill="C0C0C0"/>
            <w:noWrap/>
            <w:tcMar>
              <w:top w:w="0" w:type="dxa"/>
              <w:left w:w="108" w:type="dxa"/>
              <w:bottom w:w="0" w:type="dxa"/>
              <w:right w:w="108" w:type="dxa"/>
            </w:tcMar>
            <w:vAlign w:val="bottom"/>
            <w:hideMark/>
          </w:tcPr>
          <w:p w:rsidR="00FC5DD5" w:rsidRDefault="00FC5DD5">
            <w:pPr>
              <w:rPr>
                <w:rFonts w:ascii="Arial" w:hAnsi="Arial" w:cs="Arial"/>
                <w:sz w:val="17"/>
                <w:szCs w:val="17"/>
              </w:rPr>
            </w:pPr>
            <w:r>
              <w:rPr>
                <w:rFonts w:ascii="Arial" w:hAnsi="Arial" w:cs="Arial"/>
                <w:sz w:val="17"/>
                <w:szCs w:val="17"/>
              </w:rPr>
              <w:t>Error</w:t>
            </w:r>
            <w:r w:rsidR="008B43EC">
              <w:rPr>
                <w:rFonts w:ascii="Arial" w:hAnsi="Arial" w:cs="Arial"/>
                <w:sz w:val="17"/>
                <w:szCs w:val="17"/>
              </w:rPr>
              <w:t xml:space="preserve"> </w:t>
            </w:r>
            <w:r>
              <w:rPr>
                <w:rFonts w:ascii="Arial" w:hAnsi="Arial" w:cs="Arial"/>
                <w:sz w:val="17"/>
                <w:szCs w:val="17"/>
              </w:rPr>
              <w:t>Code</w:t>
            </w:r>
          </w:p>
        </w:tc>
      </w:tr>
      <w:tr w:rsidR="00FC5DD5" w:rsidTr="00FC5DD5">
        <w:trPr>
          <w:trHeight w:val="300"/>
        </w:trPr>
        <w:tc>
          <w:tcPr>
            <w:tcW w:w="884" w:type="pct"/>
            <w:tcBorders>
              <w:top w:val="nil"/>
              <w:left w:val="single" w:sz="8" w:space="0" w:color="D3D3D3"/>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proofErr w:type="spellStart"/>
            <w:r>
              <w:rPr>
                <w:rFonts w:ascii="Arial" w:hAnsi="Arial" w:cs="Arial"/>
                <w:sz w:val="17"/>
                <w:szCs w:val="17"/>
              </w:rPr>
              <w:t>IncLossWwideCombFiler</w:t>
            </w:r>
            <w:proofErr w:type="spellEnd"/>
          </w:p>
        </w:tc>
        <w:tc>
          <w:tcPr>
            <w:tcW w:w="1552" w:type="pct"/>
            <w:tcBorders>
              <w:top w:val="nil"/>
              <w:left w:val="nil"/>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proofErr w:type="spellStart"/>
            <w:r>
              <w:rPr>
                <w:rFonts w:ascii="Arial" w:hAnsi="Arial" w:cs="Arial"/>
                <w:sz w:val="17"/>
                <w:szCs w:val="17"/>
              </w:rPr>
              <w:t>IncLossWwideCombFiler</w:t>
            </w:r>
            <w:proofErr w:type="spellEnd"/>
            <w:r>
              <w:rPr>
                <w:rFonts w:ascii="Arial" w:hAnsi="Arial" w:cs="Arial"/>
                <w:sz w:val="17"/>
                <w:szCs w:val="17"/>
              </w:rPr>
              <w:t xml:space="preserve"> &gt; 0</w:t>
            </w:r>
          </w:p>
        </w:tc>
        <w:tc>
          <w:tcPr>
            <w:tcW w:w="1680" w:type="pct"/>
            <w:tcBorders>
              <w:top w:val="nil"/>
              <w:left w:val="nil"/>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r>
              <w:rPr>
                <w:rFonts w:ascii="Arial" w:hAnsi="Arial" w:cs="Arial"/>
                <w:sz w:val="17"/>
                <w:szCs w:val="17"/>
              </w:rPr>
              <w:t>fintform5471 = 0</w:t>
            </w:r>
          </w:p>
        </w:tc>
        <w:tc>
          <w:tcPr>
            <w:tcW w:w="884" w:type="pct"/>
            <w:tcBorders>
              <w:top w:val="nil"/>
              <w:left w:val="nil"/>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r>
              <w:rPr>
                <w:rFonts w:ascii="Arial" w:hAnsi="Arial" w:cs="Arial"/>
                <w:sz w:val="17"/>
                <w:szCs w:val="17"/>
              </w:rPr>
              <w:t>CIT-E230</w:t>
            </w:r>
          </w:p>
        </w:tc>
      </w:tr>
      <w:tr w:rsidR="00FC5DD5" w:rsidTr="00FC5DD5">
        <w:trPr>
          <w:trHeight w:val="300"/>
        </w:trPr>
        <w:tc>
          <w:tcPr>
            <w:tcW w:w="884" w:type="pct"/>
            <w:tcBorders>
              <w:top w:val="nil"/>
              <w:left w:val="single" w:sz="8" w:space="0" w:color="D3D3D3"/>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proofErr w:type="spellStart"/>
            <w:r>
              <w:rPr>
                <w:rFonts w:ascii="Arial" w:hAnsi="Arial" w:cs="Arial"/>
                <w:sz w:val="17"/>
                <w:szCs w:val="17"/>
              </w:rPr>
              <w:t>IncomeLossCorpTaxHaven</w:t>
            </w:r>
            <w:proofErr w:type="spellEnd"/>
          </w:p>
        </w:tc>
        <w:tc>
          <w:tcPr>
            <w:tcW w:w="1552" w:type="pct"/>
            <w:tcBorders>
              <w:top w:val="nil"/>
              <w:left w:val="nil"/>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proofErr w:type="spellStart"/>
            <w:proofErr w:type="gramStart"/>
            <w:r>
              <w:rPr>
                <w:rFonts w:ascii="Arial" w:hAnsi="Arial" w:cs="Arial"/>
                <w:sz w:val="17"/>
                <w:szCs w:val="17"/>
              </w:rPr>
              <w:t>IncLossUnitaryCorp</w:t>
            </w:r>
            <w:proofErr w:type="spellEnd"/>
            <w:r>
              <w:rPr>
                <w:rFonts w:ascii="Arial" w:hAnsi="Arial" w:cs="Arial"/>
                <w:sz w:val="17"/>
                <w:szCs w:val="17"/>
              </w:rPr>
              <w:t>  &gt;</w:t>
            </w:r>
            <w:proofErr w:type="gramEnd"/>
            <w:r>
              <w:rPr>
                <w:rFonts w:ascii="Arial" w:hAnsi="Arial" w:cs="Arial"/>
                <w:sz w:val="17"/>
                <w:szCs w:val="17"/>
              </w:rPr>
              <w:t xml:space="preserve"> 0</w:t>
            </w:r>
          </w:p>
        </w:tc>
        <w:tc>
          <w:tcPr>
            <w:tcW w:w="1680" w:type="pct"/>
            <w:tcBorders>
              <w:top w:val="nil"/>
              <w:left w:val="nil"/>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r>
              <w:rPr>
                <w:rFonts w:ascii="Arial" w:hAnsi="Arial" w:cs="Arial"/>
                <w:sz w:val="17"/>
                <w:szCs w:val="17"/>
              </w:rPr>
              <w:t>fintform5471 = 0</w:t>
            </w:r>
          </w:p>
        </w:tc>
        <w:tc>
          <w:tcPr>
            <w:tcW w:w="884" w:type="pct"/>
            <w:tcBorders>
              <w:top w:val="nil"/>
              <w:left w:val="nil"/>
              <w:bottom w:val="single" w:sz="8" w:space="0" w:color="D3D3D3"/>
              <w:right w:val="single" w:sz="8" w:space="0" w:color="D3D3D3"/>
            </w:tcBorders>
            <w:noWrap/>
            <w:tcMar>
              <w:top w:w="0" w:type="dxa"/>
              <w:left w:w="108" w:type="dxa"/>
              <w:bottom w:w="0" w:type="dxa"/>
              <w:right w:w="108" w:type="dxa"/>
            </w:tcMar>
            <w:vAlign w:val="bottom"/>
            <w:hideMark/>
          </w:tcPr>
          <w:p w:rsidR="00FC5DD5" w:rsidRDefault="00FC5DD5">
            <w:pPr>
              <w:rPr>
                <w:rFonts w:ascii="Arial" w:hAnsi="Arial" w:cs="Arial"/>
                <w:sz w:val="17"/>
                <w:szCs w:val="17"/>
              </w:rPr>
            </w:pPr>
            <w:r>
              <w:rPr>
                <w:rFonts w:ascii="Arial" w:hAnsi="Arial" w:cs="Arial"/>
                <w:sz w:val="17"/>
                <w:szCs w:val="17"/>
              </w:rPr>
              <w:t>CIT-E230</w:t>
            </w:r>
          </w:p>
        </w:tc>
      </w:tr>
    </w:tbl>
    <w:p w:rsidR="00FC5DD5" w:rsidRDefault="00FC5DD5" w:rsidP="00FC5DD5">
      <w:pPr>
        <w:rPr>
          <w:color w:val="FF0000"/>
        </w:rPr>
      </w:pPr>
    </w:p>
    <w:p w:rsidR="00FC5DD5" w:rsidRDefault="00FC5DD5" w:rsidP="00FC5DD5">
      <w:r>
        <w:t>IRS element tags required are from IRS1120ScheduleN</w:t>
      </w:r>
    </w:p>
    <w:p w:rsidR="00FC5DD5" w:rsidRDefault="00FC5DD5" w:rsidP="00FC5DD5">
      <w:r>
        <w:rPr>
          <w:noProof/>
        </w:rPr>
        <w:lastRenderedPageBreak/>
        <w:drawing>
          <wp:inline distT="0" distB="0" distL="0" distR="0">
            <wp:extent cx="8633900" cy="2207128"/>
            <wp:effectExtent l="0" t="0" r="0" b="3175"/>
            <wp:docPr id="1" name="Picture 1" descr="cid:image001.png@01D49ECD.8D100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ECD.8D100A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703253" cy="2224857"/>
                    </a:xfrm>
                    <a:prstGeom prst="rect">
                      <a:avLst/>
                    </a:prstGeom>
                    <a:noFill/>
                    <a:ln>
                      <a:noFill/>
                    </a:ln>
                  </pic:spPr>
                </pic:pic>
              </a:graphicData>
            </a:graphic>
          </wp:inline>
        </w:drawing>
      </w:r>
    </w:p>
    <w:p w:rsidR="00FC5DD5" w:rsidRDefault="00FC5DD5" w:rsidP="00FC5DD5"/>
    <w:p w:rsidR="00B01EFB" w:rsidRDefault="00B01EFB" w:rsidP="00B01EFB">
      <w:r>
        <w:t xml:space="preserve">If you have additional questions and would like to schedule a time for a conference call, contact </w:t>
      </w:r>
      <w:hyperlink r:id="rId7" w:history="1">
        <w:r w:rsidRPr="00A20396">
          <w:rPr>
            <w:rStyle w:val="Hyperlink"/>
          </w:rPr>
          <w:t>dore-services@mt.gov</w:t>
        </w:r>
      </w:hyperlink>
      <w:r>
        <w:t xml:space="preserve">. </w:t>
      </w:r>
    </w:p>
    <w:p w:rsidR="00B01EFB" w:rsidRDefault="00B01EFB" w:rsidP="00B01EFB"/>
    <w:p w:rsidR="00B01EFB" w:rsidRDefault="00B01EFB" w:rsidP="00B01EFB">
      <w:r>
        <w:t>Thank you,</w:t>
      </w:r>
    </w:p>
    <w:p w:rsidR="00B01EFB" w:rsidRDefault="00B01EFB" w:rsidP="00B01EFB">
      <w:r>
        <w:t>Tim</w:t>
      </w:r>
    </w:p>
    <w:p w:rsidR="00B01EFB" w:rsidRDefault="00B01EFB" w:rsidP="00B01EFB"/>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Tim Wilson, E-Services Program Manager</w:t>
      </w:r>
    </w:p>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 xml:space="preserve">CSRM/Information Management </w:t>
      </w:r>
    </w:p>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Montana Department of Revenue</w:t>
      </w:r>
    </w:p>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(406) 444-9351</w:t>
      </w:r>
    </w:p>
    <w:p w:rsidR="00FC5DD5" w:rsidRDefault="00FC5DD5">
      <w:bookmarkStart w:id="0" w:name="_GoBack"/>
      <w:bookmarkEnd w:id="0"/>
    </w:p>
    <w:sectPr w:rsidR="00FC5DD5" w:rsidSect="00FC5D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D5"/>
    <w:rsid w:val="0003658B"/>
    <w:rsid w:val="006E77BB"/>
    <w:rsid w:val="008B43EC"/>
    <w:rsid w:val="00B01EFB"/>
    <w:rsid w:val="00FC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B7F79-285B-4F0C-B914-B6E55F9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D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re-services@m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49ECD.8D100A70" TargetMode="External"/><Relationship Id="rId5" Type="http://schemas.openxmlformats.org/officeDocument/2006/relationships/image" Target="media/image1.png"/><Relationship Id="rId4" Type="http://schemas.openxmlformats.org/officeDocument/2006/relationships/hyperlink" Target="mailto:dore-services@mt.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3</cp:revision>
  <dcterms:created xsi:type="dcterms:W3CDTF">2018-12-28T23:54:00Z</dcterms:created>
  <dcterms:modified xsi:type="dcterms:W3CDTF">2018-12-29T00:03:00Z</dcterms:modified>
</cp:coreProperties>
</file>