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47C" w:rsidRDefault="00E97F61" w:rsidP="00D9247C">
      <w:pPr>
        <w:pStyle w:val="NoSpacing"/>
        <w:jc w:val="center"/>
        <w:rPr>
          <w:b/>
          <w:sz w:val="32"/>
        </w:rPr>
      </w:pPr>
      <w:bookmarkStart w:id="0" w:name="_GoBack"/>
      <w:bookmarkEnd w:id="0"/>
      <w:r>
        <w:rPr>
          <w:b/>
          <w:sz w:val="32"/>
        </w:rPr>
        <w:t>Homestead Credit Disqualified Loss Information S</w:t>
      </w:r>
      <w:r w:rsidR="00D9247C" w:rsidRPr="00D9247C">
        <w:rPr>
          <w:b/>
          <w:sz w:val="32"/>
        </w:rPr>
        <w:t xml:space="preserve">heet </w:t>
      </w:r>
    </w:p>
    <w:p w:rsidR="00E97F61" w:rsidRDefault="00E97F61" w:rsidP="00D9247C">
      <w:pPr>
        <w:pStyle w:val="NoSpacing"/>
        <w:jc w:val="center"/>
        <w:rPr>
          <w:b/>
          <w:sz w:val="32"/>
        </w:rPr>
      </w:pPr>
    </w:p>
    <w:p w:rsidR="00D9247C" w:rsidRDefault="00D9247C" w:rsidP="00D9247C">
      <w:pPr>
        <w:pStyle w:val="NoSpacing"/>
        <w:rPr>
          <w:sz w:val="24"/>
        </w:rPr>
      </w:pPr>
      <w:r>
        <w:rPr>
          <w:sz w:val="24"/>
        </w:rPr>
        <w:t xml:space="preserve">Act 59 included a </w:t>
      </w:r>
      <w:r w:rsidR="00787F12">
        <w:rPr>
          <w:sz w:val="24"/>
        </w:rPr>
        <w:t xml:space="preserve">homestead credit </w:t>
      </w:r>
      <w:r>
        <w:rPr>
          <w:sz w:val="24"/>
        </w:rPr>
        <w:t>law change that goes into effect with the 2018 returns.  The taxpayer must now add back the disqualified loss</w:t>
      </w:r>
      <w:r w:rsidR="00823807">
        <w:rPr>
          <w:sz w:val="24"/>
        </w:rPr>
        <w:t>es</w:t>
      </w:r>
      <w:r>
        <w:rPr>
          <w:sz w:val="24"/>
        </w:rPr>
        <w:t xml:space="preserve"> that </w:t>
      </w:r>
      <w:r w:rsidR="00823807">
        <w:rPr>
          <w:sz w:val="24"/>
        </w:rPr>
        <w:t xml:space="preserve">are </w:t>
      </w:r>
      <w:r>
        <w:rPr>
          <w:sz w:val="24"/>
        </w:rPr>
        <w:t>included in their Wisconsin income.</w:t>
      </w:r>
    </w:p>
    <w:p w:rsidR="00D9247C" w:rsidRDefault="00D9247C" w:rsidP="00D9247C">
      <w:pPr>
        <w:pStyle w:val="NoSpacing"/>
        <w:rPr>
          <w:sz w:val="24"/>
        </w:rPr>
      </w:pPr>
    </w:p>
    <w:p w:rsidR="00D9247C" w:rsidRPr="00D9247C" w:rsidRDefault="00D9247C" w:rsidP="00D9247C">
      <w:pPr>
        <w:pStyle w:val="NoSpacing"/>
        <w:rPr>
          <w:sz w:val="24"/>
        </w:rPr>
      </w:pPr>
      <w:r w:rsidRPr="00D9247C">
        <w:rPr>
          <w:sz w:val="24"/>
        </w:rPr>
        <w:t>“Disqualified loss” means the sum of the following amounts, exclusive of net gains from the sale or exchange of capital or business assets and exclusive of net profits:</w:t>
      </w:r>
    </w:p>
    <w:p w:rsidR="00D9247C" w:rsidRPr="00D9247C" w:rsidRDefault="00D9247C" w:rsidP="00D9247C">
      <w:pPr>
        <w:pStyle w:val="NoSpacing"/>
        <w:rPr>
          <w:sz w:val="24"/>
        </w:rPr>
      </w:pPr>
      <w:r w:rsidRPr="00D9247C">
        <w:rPr>
          <w:sz w:val="24"/>
        </w:rPr>
        <w:t>(a) Net loss from sole proprietorships</w:t>
      </w:r>
    </w:p>
    <w:p w:rsidR="00D9247C" w:rsidRPr="00D9247C" w:rsidRDefault="00D9247C" w:rsidP="00D9247C">
      <w:pPr>
        <w:pStyle w:val="NoSpacing"/>
        <w:rPr>
          <w:sz w:val="24"/>
        </w:rPr>
      </w:pPr>
      <w:r w:rsidRPr="00D9247C">
        <w:rPr>
          <w:sz w:val="24"/>
        </w:rPr>
        <w:t>(b) Net capital loss</w:t>
      </w:r>
    </w:p>
    <w:p w:rsidR="00D9247C" w:rsidRPr="00D9247C" w:rsidRDefault="00D9247C" w:rsidP="00D9247C">
      <w:pPr>
        <w:pStyle w:val="NoSpacing"/>
        <w:rPr>
          <w:sz w:val="24"/>
        </w:rPr>
      </w:pPr>
      <w:r w:rsidRPr="00D9247C">
        <w:rPr>
          <w:sz w:val="24"/>
        </w:rPr>
        <w:t>(c) Net loss from sales of business property, excluding loss from involuntary conversions</w:t>
      </w:r>
    </w:p>
    <w:p w:rsidR="00D9247C" w:rsidRPr="00D9247C" w:rsidRDefault="00D9247C" w:rsidP="00D9247C">
      <w:pPr>
        <w:pStyle w:val="NoSpacing"/>
        <w:rPr>
          <w:sz w:val="24"/>
        </w:rPr>
      </w:pPr>
      <w:r w:rsidRPr="00D9247C">
        <w:rPr>
          <w:sz w:val="24"/>
        </w:rPr>
        <w:t>(d) Net loss from rental real estate, royalties, partnerships, tax−option S corporations, trusts, estates, and real estate mortgage investment conduits</w:t>
      </w:r>
    </w:p>
    <w:p w:rsidR="00D9247C" w:rsidRPr="00D9247C" w:rsidRDefault="00D9247C" w:rsidP="00D9247C">
      <w:pPr>
        <w:pStyle w:val="NoSpacing"/>
        <w:rPr>
          <w:sz w:val="24"/>
        </w:rPr>
      </w:pPr>
      <w:r w:rsidRPr="00D9247C">
        <w:rPr>
          <w:sz w:val="24"/>
        </w:rPr>
        <w:t>(e) Net farm loss</w:t>
      </w:r>
    </w:p>
    <w:p w:rsidR="00D9247C" w:rsidRDefault="00D9247C" w:rsidP="00D9247C">
      <w:pPr>
        <w:pStyle w:val="NoSpacing"/>
        <w:rPr>
          <w:sz w:val="24"/>
        </w:rPr>
      </w:pPr>
    </w:p>
    <w:p w:rsidR="00D9247C" w:rsidRPr="00D9247C" w:rsidRDefault="00D9247C" w:rsidP="00D9247C">
      <w:pPr>
        <w:pStyle w:val="NoSpacing"/>
      </w:pPr>
      <w:r>
        <w:rPr>
          <w:sz w:val="24"/>
        </w:rPr>
        <w:t xml:space="preserve">There is one exception.  </w:t>
      </w:r>
      <w:r w:rsidRPr="00D9247C">
        <w:t>A claimant does not have to add back disqualified losses (of any kind) if all of the following are true for the year:</w:t>
      </w:r>
    </w:p>
    <w:p w:rsidR="002F2145" w:rsidRPr="00D9247C" w:rsidRDefault="00787F12" w:rsidP="00D9247C">
      <w:pPr>
        <w:pStyle w:val="NoSpacing"/>
        <w:numPr>
          <w:ilvl w:val="0"/>
          <w:numId w:val="1"/>
        </w:numPr>
        <w:rPr>
          <w:sz w:val="24"/>
        </w:rPr>
      </w:pPr>
      <w:r w:rsidRPr="00D9247C">
        <w:rPr>
          <w:sz w:val="24"/>
        </w:rPr>
        <w:t>The claimant is a farmer</w:t>
      </w:r>
    </w:p>
    <w:p w:rsidR="002F2145" w:rsidRPr="00D9247C" w:rsidRDefault="00787F12" w:rsidP="00D9247C">
      <w:pPr>
        <w:pStyle w:val="NoSpacing"/>
        <w:numPr>
          <w:ilvl w:val="0"/>
          <w:numId w:val="1"/>
        </w:numPr>
        <w:rPr>
          <w:sz w:val="24"/>
        </w:rPr>
      </w:pPr>
      <w:r w:rsidRPr="00D9247C">
        <w:rPr>
          <w:sz w:val="24"/>
        </w:rPr>
        <w:t xml:space="preserve">The claimant's primary income is from farming </w:t>
      </w:r>
    </w:p>
    <w:p w:rsidR="002F2145" w:rsidRDefault="00787F12" w:rsidP="00D9247C">
      <w:pPr>
        <w:pStyle w:val="NoSpacing"/>
        <w:numPr>
          <w:ilvl w:val="0"/>
          <w:numId w:val="1"/>
        </w:numPr>
        <w:rPr>
          <w:sz w:val="24"/>
        </w:rPr>
      </w:pPr>
      <w:r w:rsidRPr="00D9247C">
        <w:rPr>
          <w:sz w:val="24"/>
        </w:rPr>
        <w:t>The claimant's farming operations generate less than $250,000 in gross receipts</w:t>
      </w:r>
    </w:p>
    <w:p w:rsidR="00D9247C" w:rsidRDefault="00D9247C" w:rsidP="00D9247C">
      <w:pPr>
        <w:pStyle w:val="NoSpacing"/>
        <w:rPr>
          <w:sz w:val="24"/>
        </w:rPr>
      </w:pPr>
    </w:p>
    <w:p w:rsidR="00D9247C" w:rsidRPr="00D9247C" w:rsidRDefault="00D9247C" w:rsidP="00D9247C">
      <w:pPr>
        <w:pStyle w:val="NoSpacing"/>
        <w:rPr>
          <w:sz w:val="24"/>
        </w:rPr>
      </w:pPr>
      <w:r>
        <w:rPr>
          <w:sz w:val="24"/>
        </w:rPr>
        <w:t>A claimant's primary income is from farming if they have more net positive income from farming than from all other sources combined.</w:t>
      </w:r>
    </w:p>
    <w:p w:rsidR="00D9247C" w:rsidRDefault="00D9247C" w:rsidP="00D9247C">
      <w:pPr>
        <w:pStyle w:val="NoSpacing"/>
        <w:rPr>
          <w:sz w:val="24"/>
        </w:rPr>
      </w:pPr>
    </w:p>
    <w:p w:rsidR="00E97F61" w:rsidRPr="00E97F61" w:rsidRDefault="00E97F61" w:rsidP="00D9247C">
      <w:pPr>
        <w:pStyle w:val="NoSpacing"/>
        <w:rPr>
          <w:b/>
          <w:sz w:val="24"/>
        </w:rPr>
      </w:pPr>
      <w:r w:rsidRPr="00E97F61">
        <w:rPr>
          <w:b/>
          <w:sz w:val="24"/>
        </w:rPr>
        <w:t>New line and new Schedule</w:t>
      </w:r>
    </w:p>
    <w:p w:rsidR="00D9247C" w:rsidRDefault="00D9247C" w:rsidP="00D9247C">
      <w:pPr>
        <w:pStyle w:val="NoSpacing"/>
        <w:rPr>
          <w:sz w:val="24"/>
        </w:rPr>
      </w:pPr>
      <w:r>
        <w:rPr>
          <w:sz w:val="24"/>
        </w:rPr>
        <w:t>There is a new line on Schedule H – line 11j</w:t>
      </w:r>
      <w:r w:rsidR="003D4DC3">
        <w:rPr>
          <w:sz w:val="24"/>
        </w:rPr>
        <w:t xml:space="preserve">, </w:t>
      </w:r>
      <w:r>
        <w:rPr>
          <w:sz w:val="24"/>
        </w:rPr>
        <w:t>and a new Schedule – Schedule 4.</w:t>
      </w:r>
      <w:r w:rsidR="003D4DC3">
        <w:rPr>
          <w:sz w:val="24"/>
        </w:rPr>
        <w:t xml:space="preserve">  The total from Schedule 4 should be carried to line 11j.</w:t>
      </w:r>
    </w:p>
    <w:p w:rsidR="003D4DC3" w:rsidRDefault="003D4DC3" w:rsidP="00D9247C">
      <w:pPr>
        <w:pStyle w:val="NoSpacing"/>
        <w:rPr>
          <w:sz w:val="24"/>
        </w:rPr>
      </w:pPr>
    </w:p>
    <w:p w:rsidR="003D4DC3" w:rsidRDefault="003D4DC3" w:rsidP="00D9247C">
      <w:pPr>
        <w:pStyle w:val="NoSpacing"/>
        <w:rPr>
          <w:sz w:val="24"/>
        </w:rPr>
      </w:pPr>
      <w:r>
        <w:rPr>
          <w:sz w:val="24"/>
        </w:rPr>
        <w:t>Schedule 4 should include losses from the categories listed above.  If the taxpayer has multiple activities from a category, the activities should not be netted to determine the loss</w:t>
      </w:r>
      <w:r w:rsidR="00787F12">
        <w:rPr>
          <w:sz w:val="24"/>
        </w:rPr>
        <w:t xml:space="preserve"> to enter on Schedule 4</w:t>
      </w:r>
      <w:r>
        <w:rPr>
          <w:sz w:val="24"/>
        </w:rPr>
        <w:t xml:space="preserve">.  </w:t>
      </w:r>
    </w:p>
    <w:p w:rsidR="003D4DC3" w:rsidRDefault="003D4DC3" w:rsidP="00D9247C">
      <w:pPr>
        <w:pStyle w:val="NoSpacing"/>
        <w:rPr>
          <w:sz w:val="24"/>
        </w:rPr>
      </w:pPr>
    </w:p>
    <w:p w:rsidR="003D4DC3" w:rsidRDefault="00787F12" w:rsidP="00D9247C">
      <w:pPr>
        <w:pStyle w:val="NoSpacing"/>
        <w:rPr>
          <w:sz w:val="24"/>
        </w:rPr>
      </w:pPr>
      <w:r>
        <w:rPr>
          <w:sz w:val="24"/>
        </w:rPr>
        <w:t>For example:  I</w:t>
      </w:r>
      <w:r w:rsidR="003D4DC3">
        <w:rPr>
          <w:sz w:val="24"/>
        </w:rPr>
        <w:t xml:space="preserve">f the taxpayer has two Schedules C, </w:t>
      </w:r>
      <w:r>
        <w:rPr>
          <w:sz w:val="24"/>
        </w:rPr>
        <w:t xml:space="preserve">Schedule C-1 </w:t>
      </w:r>
      <w:r w:rsidR="003D4DC3">
        <w:rPr>
          <w:sz w:val="24"/>
        </w:rPr>
        <w:t xml:space="preserve">resulting in net income and </w:t>
      </w:r>
      <w:r>
        <w:rPr>
          <w:sz w:val="24"/>
        </w:rPr>
        <w:t>Schedule C-2 resulting</w:t>
      </w:r>
      <w:r w:rsidR="003D4DC3">
        <w:rPr>
          <w:sz w:val="24"/>
        </w:rPr>
        <w:t xml:space="preserve"> in a net loss</w:t>
      </w:r>
      <w:r w:rsidR="00024620">
        <w:rPr>
          <w:sz w:val="24"/>
        </w:rPr>
        <w:t>, e</w:t>
      </w:r>
      <w:r w:rsidR="003D4DC3">
        <w:rPr>
          <w:sz w:val="24"/>
        </w:rPr>
        <w:t xml:space="preserve">nter the loss from the </w:t>
      </w:r>
      <w:r>
        <w:rPr>
          <w:sz w:val="24"/>
        </w:rPr>
        <w:t>S</w:t>
      </w:r>
      <w:r w:rsidR="003D4DC3">
        <w:rPr>
          <w:sz w:val="24"/>
        </w:rPr>
        <w:t>chedule</w:t>
      </w:r>
      <w:r>
        <w:rPr>
          <w:sz w:val="24"/>
        </w:rPr>
        <w:t xml:space="preserve"> C-2</w:t>
      </w:r>
      <w:r w:rsidR="003D4DC3">
        <w:rPr>
          <w:sz w:val="24"/>
        </w:rPr>
        <w:t xml:space="preserve"> on line 2 of Schedule 4.</w:t>
      </w:r>
      <w:r w:rsidR="00024620">
        <w:rPr>
          <w:sz w:val="24"/>
        </w:rPr>
        <w:t xml:space="preserve">  </w:t>
      </w:r>
      <w:r w:rsidR="00E97F61">
        <w:rPr>
          <w:sz w:val="24"/>
        </w:rPr>
        <w:t>Do</w:t>
      </w:r>
      <w:r w:rsidR="00024620">
        <w:rPr>
          <w:sz w:val="24"/>
        </w:rPr>
        <w:t xml:space="preserve"> not net it with the income from </w:t>
      </w:r>
      <w:r>
        <w:rPr>
          <w:sz w:val="24"/>
        </w:rPr>
        <w:t>S</w:t>
      </w:r>
      <w:r w:rsidR="00024620">
        <w:rPr>
          <w:sz w:val="24"/>
        </w:rPr>
        <w:t xml:space="preserve">chedule </w:t>
      </w:r>
      <w:r>
        <w:rPr>
          <w:sz w:val="24"/>
        </w:rPr>
        <w:t>C-1 t</w:t>
      </w:r>
      <w:r w:rsidR="00024620">
        <w:rPr>
          <w:sz w:val="24"/>
        </w:rPr>
        <w:t xml:space="preserve">o determine the disqualified loss.  Similarly, if the taxpayer has multiple rental properties or capital gain transactions, each property/transaction is evaluated individually.  Those resulting in losses </w:t>
      </w:r>
      <w:r w:rsidR="00823807">
        <w:rPr>
          <w:sz w:val="24"/>
        </w:rPr>
        <w:t xml:space="preserve">(and included in Wisconsin income) </w:t>
      </w:r>
      <w:r w:rsidR="00024620">
        <w:rPr>
          <w:sz w:val="24"/>
        </w:rPr>
        <w:t>should be entered on Schedule 4.  Those resulting in income</w:t>
      </w:r>
      <w:r w:rsidR="00A116D0">
        <w:rPr>
          <w:sz w:val="24"/>
        </w:rPr>
        <w:t>/gain</w:t>
      </w:r>
      <w:r w:rsidR="00024620">
        <w:rPr>
          <w:sz w:val="24"/>
        </w:rPr>
        <w:t xml:space="preserve"> are not included in the computation of the disqualified loss.</w:t>
      </w:r>
    </w:p>
    <w:p w:rsidR="00024620" w:rsidRDefault="00024620" w:rsidP="00D9247C">
      <w:pPr>
        <w:pStyle w:val="NoSpacing"/>
        <w:rPr>
          <w:sz w:val="24"/>
        </w:rPr>
      </w:pPr>
    </w:p>
    <w:p w:rsidR="00D9247C" w:rsidRPr="00D9247C" w:rsidRDefault="00024620" w:rsidP="00D9247C">
      <w:pPr>
        <w:pStyle w:val="NoSpacing"/>
        <w:rPr>
          <w:sz w:val="24"/>
        </w:rPr>
      </w:pPr>
      <w:r>
        <w:rPr>
          <w:sz w:val="24"/>
        </w:rPr>
        <w:t xml:space="preserve">The depreciation, Section 179 expense, depletion, amortization and intangible drilling costs that are included in the losses entered on Schedule 4 should be entered on line 12 of the schedule.  They will be deducted in calculating the disqualified loss that is carried to line 11j.  Those expenses will continue to be included on lines 11g, 11h and 11i, as in the past. </w:t>
      </w:r>
      <w:r w:rsidR="003D4DC3">
        <w:rPr>
          <w:sz w:val="24"/>
        </w:rPr>
        <w:t xml:space="preserve"> </w:t>
      </w:r>
    </w:p>
    <w:sectPr w:rsidR="00D9247C" w:rsidRPr="00D92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D2C56"/>
    <w:multiLevelType w:val="hybridMultilevel"/>
    <w:tmpl w:val="17321D4C"/>
    <w:lvl w:ilvl="0" w:tplc="66D434AE">
      <w:start w:val="1"/>
      <w:numFmt w:val="bullet"/>
      <w:lvlText w:val="–"/>
      <w:lvlJc w:val="left"/>
      <w:pPr>
        <w:tabs>
          <w:tab w:val="num" w:pos="720"/>
        </w:tabs>
        <w:ind w:left="720" w:hanging="360"/>
      </w:pPr>
      <w:rPr>
        <w:rFonts w:ascii="Arial" w:hAnsi="Arial" w:hint="default"/>
      </w:rPr>
    </w:lvl>
    <w:lvl w:ilvl="1" w:tplc="87D09704">
      <w:start w:val="1"/>
      <w:numFmt w:val="bullet"/>
      <w:lvlText w:val="–"/>
      <w:lvlJc w:val="left"/>
      <w:pPr>
        <w:tabs>
          <w:tab w:val="num" w:pos="1440"/>
        </w:tabs>
        <w:ind w:left="1440" w:hanging="360"/>
      </w:pPr>
      <w:rPr>
        <w:rFonts w:ascii="Arial" w:hAnsi="Arial" w:hint="default"/>
      </w:rPr>
    </w:lvl>
    <w:lvl w:ilvl="2" w:tplc="F5C2A3C0" w:tentative="1">
      <w:start w:val="1"/>
      <w:numFmt w:val="bullet"/>
      <w:lvlText w:val="–"/>
      <w:lvlJc w:val="left"/>
      <w:pPr>
        <w:tabs>
          <w:tab w:val="num" w:pos="2160"/>
        </w:tabs>
        <w:ind w:left="2160" w:hanging="360"/>
      </w:pPr>
      <w:rPr>
        <w:rFonts w:ascii="Arial" w:hAnsi="Arial" w:hint="default"/>
      </w:rPr>
    </w:lvl>
    <w:lvl w:ilvl="3" w:tplc="8B56D67A" w:tentative="1">
      <w:start w:val="1"/>
      <w:numFmt w:val="bullet"/>
      <w:lvlText w:val="–"/>
      <w:lvlJc w:val="left"/>
      <w:pPr>
        <w:tabs>
          <w:tab w:val="num" w:pos="2880"/>
        </w:tabs>
        <w:ind w:left="2880" w:hanging="360"/>
      </w:pPr>
      <w:rPr>
        <w:rFonts w:ascii="Arial" w:hAnsi="Arial" w:hint="default"/>
      </w:rPr>
    </w:lvl>
    <w:lvl w:ilvl="4" w:tplc="90349EA6" w:tentative="1">
      <w:start w:val="1"/>
      <w:numFmt w:val="bullet"/>
      <w:lvlText w:val="–"/>
      <w:lvlJc w:val="left"/>
      <w:pPr>
        <w:tabs>
          <w:tab w:val="num" w:pos="3600"/>
        </w:tabs>
        <w:ind w:left="3600" w:hanging="360"/>
      </w:pPr>
      <w:rPr>
        <w:rFonts w:ascii="Arial" w:hAnsi="Arial" w:hint="default"/>
      </w:rPr>
    </w:lvl>
    <w:lvl w:ilvl="5" w:tplc="F2BA63FE" w:tentative="1">
      <w:start w:val="1"/>
      <w:numFmt w:val="bullet"/>
      <w:lvlText w:val="–"/>
      <w:lvlJc w:val="left"/>
      <w:pPr>
        <w:tabs>
          <w:tab w:val="num" w:pos="4320"/>
        </w:tabs>
        <w:ind w:left="4320" w:hanging="360"/>
      </w:pPr>
      <w:rPr>
        <w:rFonts w:ascii="Arial" w:hAnsi="Arial" w:hint="default"/>
      </w:rPr>
    </w:lvl>
    <w:lvl w:ilvl="6" w:tplc="6630AA68" w:tentative="1">
      <w:start w:val="1"/>
      <w:numFmt w:val="bullet"/>
      <w:lvlText w:val="–"/>
      <w:lvlJc w:val="left"/>
      <w:pPr>
        <w:tabs>
          <w:tab w:val="num" w:pos="5040"/>
        </w:tabs>
        <w:ind w:left="5040" w:hanging="360"/>
      </w:pPr>
      <w:rPr>
        <w:rFonts w:ascii="Arial" w:hAnsi="Arial" w:hint="default"/>
      </w:rPr>
    </w:lvl>
    <w:lvl w:ilvl="7" w:tplc="CD1894F6" w:tentative="1">
      <w:start w:val="1"/>
      <w:numFmt w:val="bullet"/>
      <w:lvlText w:val="–"/>
      <w:lvlJc w:val="left"/>
      <w:pPr>
        <w:tabs>
          <w:tab w:val="num" w:pos="5760"/>
        </w:tabs>
        <w:ind w:left="5760" w:hanging="360"/>
      </w:pPr>
      <w:rPr>
        <w:rFonts w:ascii="Arial" w:hAnsi="Arial" w:hint="default"/>
      </w:rPr>
    </w:lvl>
    <w:lvl w:ilvl="8" w:tplc="05748DB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7C"/>
    <w:rsid w:val="00024620"/>
    <w:rsid w:val="002F2145"/>
    <w:rsid w:val="003D4DC3"/>
    <w:rsid w:val="00787F12"/>
    <w:rsid w:val="00823807"/>
    <w:rsid w:val="00A116D0"/>
    <w:rsid w:val="00B37992"/>
    <w:rsid w:val="00D9247C"/>
    <w:rsid w:val="00E9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F1D23-8D0D-4FF5-99A8-D6486C99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47C"/>
    <w:pPr>
      <w:spacing w:after="0" w:line="240" w:lineRule="auto"/>
    </w:pPr>
  </w:style>
  <w:style w:type="paragraph" w:styleId="NormalWeb">
    <w:name w:val="Normal (Web)"/>
    <w:basedOn w:val="Normal"/>
    <w:uiPriority w:val="99"/>
    <w:semiHidden/>
    <w:unhideWhenUsed/>
    <w:rsid w:val="00D924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411917">
      <w:bodyDiv w:val="1"/>
      <w:marLeft w:val="0"/>
      <w:marRight w:val="0"/>
      <w:marTop w:val="0"/>
      <w:marBottom w:val="0"/>
      <w:divBdr>
        <w:top w:val="none" w:sz="0" w:space="0" w:color="auto"/>
        <w:left w:val="none" w:sz="0" w:space="0" w:color="auto"/>
        <w:bottom w:val="none" w:sz="0" w:space="0" w:color="auto"/>
        <w:right w:val="none" w:sz="0" w:space="0" w:color="auto"/>
      </w:divBdr>
      <w:divsChild>
        <w:div w:id="1759060591">
          <w:marLeft w:val="1166"/>
          <w:marRight w:val="0"/>
          <w:marTop w:val="125"/>
          <w:marBottom w:val="0"/>
          <w:divBdr>
            <w:top w:val="none" w:sz="0" w:space="0" w:color="auto"/>
            <w:left w:val="none" w:sz="0" w:space="0" w:color="auto"/>
            <w:bottom w:val="none" w:sz="0" w:space="0" w:color="auto"/>
            <w:right w:val="none" w:sz="0" w:space="0" w:color="auto"/>
          </w:divBdr>
        </w:div>
        <w:div w:id="402414955">
          <w:marLeft w:val="1166"/>
          <w:marRight w:val="0"/>
          <w:marTop w:val="125"/>
          <w:marBottom w:val="0"/>
          <w:divBdr>
            <w:top w:val="none" w:sz="0" w:space="0" w:color="auto"/>
            <w:left w:val="none" w:sz="0" w:space="0" w:color="auto"/>
            <w:bottom w:val="none" w:sz="0" w:space="0" w:color="auto"/>
            <w:right w:val="none" w:sz="0" w:space="0" w:color="auto"/>
          </w:divBdr>
        </w:div>
        <w:div w:id="1908420750">
          <w:marLeft w:val="1166"/>
          <w:marRight w:val="0"/>
          <w:marTop w:val="125"/>
          <w:marBottom w:val="0"/>
          <w:divBdr>
            <w:top w:val="none" w:sz="0" w:space="0" w:color="auto"/>
            <w:left w:val="none" w:sz="0" w:space="0" w:color="auto"/>
            <w:bottom w:val="none" w:sz="0" w:space="0" w:color="auto"/>
            <w:right w:val="none" w:sz="0" w:space="0" w:color="auto"/>
          </w:divBdr>
        </w:div>
      </w:divsChild>
    </w:div>
    <w:div w:id="134886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WI Department of Revenue</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Laura R - DOR</dc:creator>
  <cp:keywords/>
  <dc:description/>
  <cp:lastModifiedBy>Larson, Laura R - DOR</cp:lastModifiedBy>
  <cp:revision>6</cp:revision>
  <dcterms:created xsi:type="dcterms:W3CDTF">2018-08-27T15:11:00Z</dcterms:created>
  <dcterms:modified xsi:type="dcterms:W3CDTF">2018-10-05T14:12:00Z</dcterms:modified>
</cp:coreProperties>
</file>